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EB2321" w14:textId="77777777" w:rsidR="00840794" w:rsidRPr="00505A57" w:rsidRDefault="00840794" w:rsidP="00840794">
      <w:pPr>
        <w:pStyle w:val="Akapitzlist"/>
        <w:numPr>
          <w:ilvl w:val="0"/>
          <w:numId w:val="1"/>
        </w:numPr>
        <w:rPr>
          <w:b/>
          <w:bCs/>
          <w:sz w:val="20"/>
          <w:szCs w:val="20"/>
        </w:rPr>
      </w:pPr>
      <w:r w:rsidRPr="007B4278">
        <w:rPr>
          <w:b/>
          <w:bCs/>
        </w:rPr>
        <w:t>Obszar</w:t>
      </w:r>
      <w:r w:rsidRPr="00505A57">
        <w:rPr>
          <w:b/>
          <w:bCs/>
          <w:sz w:val="20"/>
          <w:szCs w:val="20"/>
        </w:rPr>
        <w:t xml:space="preserve"> </w:t>
      </w:r>
      <w:r w:rsidRPr="007B4278">
        <w:rPr>
          <w:b/>
          <w:bCs/>
        </w:rPr>
        <w:t>badań</w:t>
      </w:r>
    </w:p>
    <w:p w14:paraId="70084717" w14:textId="6137D5FB" w:rsidR="00382460" w:rsidRDefault="00382460" w:rsidP="00382460">
      <w:pPr>
        <w:ind w:left="360"/>
        <w:jc w:val="both"/>
        <w:rPr>
          <w:sz w:val="20"/>
          <w:szCs w:val="20"/>
        </w:rPr>
      </w:pPr>
      <w:r w:rsidRPr="00382460">
        <w:rPr>
          <w:sz w:val="20"/>
          <w:szCs w:val="20"/>
        </w:rPr>
        <w:t xml:space="preserve">Badania geofizyczne przeprowadzono na terenie miasta Działoszyce, położonego w południowej części województwa świętokrzyskiego, w powiecie pińczowskim. Miejscowość zlokalizowana jest </w:t>
      </w:r>
      <w:r w:rsidR="000B32A0">
        <w:rPr>
          <w:sz w:val="20"/>
          <w:szCs w:val="20"/>
        </w:rPr>
        <w:br/>
      </w:r>
      <w:r w:rsidRPr="00382460">
        <w:rPr>
          <w:sz w:val="20"/>
          <w:szCs w:val="20"/>
        </w:rPr>
        <w:t xml:space="preserve">w widłach rzek Jakubówka i </w:t>
      </w:r>
      <w:proofErr w:type="spellStart"/>
      <w:r w:rsidRPr="00382460">
        <w:rPr>
          <w:sz w:val="20"/>
          <w:szCs w:val="20"/>
        </w:rPr>
        <w:t>Sancygniówka</w:t>
      </w:r>
      <w:proofErr w:type="spellEnd"/>
      <w:r w:rsidRPr="00382460">
        <w:rPr>
          <w:sz w:val="20"/>
          <w:szCs w:val="20"/>
        </w:rPr>
        <w:t>, będącej dopływem Nidzicy. Obszar ten charakteryzuje się długą i dobrze udokumentowaną historią osadniczą, sięgającą co najmniej XIII wieku, o czym świadczą najstarsze źródła pisane.</w:t>
      </w:r>
      <w:r>
        <w:rPr>
          <w:sz w:val="20"/>
          <w:szCs w:val="20"/>
        </w:rPr>
        <w:t xml:space="preserve"> </w:t>
      </w:r>
      <w:r w:rsidRPr="00382460">
        <w:rPr>
          <w:sz w:val="20"/>
          <w:szCs w:val="20"/>
        </w:rPr>
        <w:t>W wyniku III rozbioru Polski w 1795 roku, Działoszyce znalazły się w granicach monarchii Habsburgów, pozostając w zaborze austriackim przez dwanaście lat. W latach 1807–1815 miejscowość należała do Księstwa Warszawskiego, a od 1815 roku – w wyniku postanowień kongresu wiedeńskiego – została włączona do Imperium Rosyjskiego, w którym pozostała przez ponad sto lat. Bliskość granicy z Austrią oraz sąsiedztwo Rzeczypospolitej Krakowskiej sprzyjały rozwojowi osadnictwa, w tym intensyfikacji osadnictwa żydowskiego, szczególnie w XIX wieku.</w:t>
      </w:r>
      <w:r>
        <w:rPr>
          <w:sz w:val="20"/>
          <w:szCs w:val="20"/>
        </w:rPr>
        <w:t xml:space="preserve"> </w:t>
      </w:r>
      <w:r w:rsidRPr="00382460">
        <w:rPr>
          <w:sz w:val="20"/>
          <w:szCs w:val="20"/>
        </w:rPr>
        <w:t xml:space="preserve">W okresie </w:t>
      </w:r>
      <w:r w:rsidR="00550FE9">
        <w:rPr>
          <w:sz w:val="20"/>
          <w:szCs w:val="20"/>
        </w:rPr>
        <w:br/>
      </w:r>
      <w:r w:rsidRPr="00382460">
        <w:rPr>
          <w:sz w:val="20"/>
          <w:szCs w:val="20"/>
        </w:rPr>
        <w:t>II Rzeczypospolitej Działoszyce funkcjonowały jako lokalny ośrodek handlu płodami rolnymi (głównie zbożem, drobiem i trzodą chlewną). Działało tu również kilka niewielkich zakładów przemysłowych. Według spisu z 1921 roku, miasto liczyło 6755 mieszkańców, z czego około 80% stanowili Żydzi. Do 1939 roku liczba ludności zmniejszyła się do 5872 osób.</w:t>
      </w:r>
      <w:r>
        <w:rPr>
          <w:sz w:val="20"/>
          <w:szCs w:val="20"/>
        </w:rPr>
        <w:t xml:space="preserve"> </w:t>
      </w:r>
      <w:r w:rsidRPr="00382460">
        <w:rPr>
          <w:sz w:val="20"/>
          <w:szCs w:val="20"/>
        </w:rPr>
        <w:t>W czasie okupacji niemieckiej doszło do eksterminacji społeczności żydowskiej. Po włączeniu Górnego Śląska do III Rzeszy wielu Żydów oraz Polaków przemieszczało się w kierunku Generalnej Guberni, co skutkowało wzrostem liczby ludności w rejonie Działoszyc. 2 września 1942 roku do miasta przybyły jednostki Gestapo z Miechowa, wydając rozkaz zgromadzenia całej ludności żydowskiej – zarówno z Działoszyc, jak i pobliskich miejscowości – na rynku miejskim. Do końca dnia zebrało się tam około 10 000 osób.</w:t>
      </w:r>
      <w:r>
        <w:rPr>
          <w:sz w:val="20"/>
          <w:szCs w:val="20"/>
        </w:rPr>
        <w:t xml:space="preserve"> Trzeciego</w:t>
      </w:r>
      <w:r w:rsidRPr="00382460">
        <w:rPr>
          <w:sz w:val="20"/>
          <w:szCs w:val="20"/>
        </w:rPr>
        <w:t xml:space="preserve"> września wydano rozkaz przetransportowania zgromadzonych do punktu zbornego pod Miechowem, a następnie – głównie – do obozu zagłady w Bełżcu. Większość osób skierowano pieszo na stację kolejową. Około 1500 osób, w tym osoby starsze oraz niezdolne do poruszania się, załadowano na wozy konne </w:t>
      </w:r>
      <w:r w:rsidR="00075B04">
        <w:rPr>
          <w:sz w:val="20"/>
          <w:szCs w:val="20"/>
        </w:rPr>
        <w:br/>
      </w:r>
      <w:r w:rsidRPr="00382460">
        <w:rPr>
          <w:sz w:val="20"/>
          <w:szCs w:val="20"/>
        </w:rPr>
        <w:t>i samochody ciężarowe, po czym przewieziono na cmentarz żydowski, gdzie zostali rozstrzelani. Ich ciała pochowano w trzech zbiorowych mogiłach.</w:t>
      </w:r>
      <w:r>
        <w:rPr>
          <w:sz w:val="20"/>
          <w:szCs w:val="20"/>
        </w:rPr>
        <w:t xml:space="preserve"> </w:t>
      </w:r>
      <w:r w:rsidRPr="00382460">
        <w:rPr>
          <w:sz w:val="20"/>
          <w:szCs w:val="20"/>
        </w:rPr>
        <w:t xml:space="preserve">W kolejnych dniach żołnierze niemieccy przeszukiwali domy opuszczone przez ludność żydowską, konfiskując i wywożąc mienie ruchome. Deportacje i eksterminacja doprowadziły do niemal całkowitego zaniku społeczności żydowskiej </w:t>
      </w:r>
      <w:r w:rsidR="00075B04">
        <w:rPr>
          <w:sz w:val="20"/>
          <w:szCs w:val="20"/>
        </w:rPr>
        <w:br/>
      </w:r>
      <w:r w:rsidRPr="00382460">
        <w:rPr>
          <w:sz w:val="20"/>
          <w:szCs w:val="20"/>
        </w:rPr>
        <w:t>w Działoszycach oraz znaczącego spadku liczby ludności – po zakończeniu działań wojennych miasto liczyło mniej niż dwa tysiące mieszkańców.</w:t>
      </w:r>
    </w:p>
    <w:p w14:paraId="00304AB4" w14:textId="207892AB" w:rsidR="00226C00" w:rsidRDefault="00226C00" w:rsidP="00226C00">
      <w:pPr>
        <w:ind w:left="360"/>
        <w:jc w:val="both"/>
        <w:rPr>
          <w:sz w:val="20"/>
          <w:szCs w:val="20"/>
        </w:rPr>
      </w:pPr>
      <w:r w:rsidRPr="00226C00">
        <w:rPr>
          <w:sz w:val="20"/>
          <w:szCs w:val="20"/>
        </w:rPr>
        <w:t xml:space="preserve">Budowa geologiczna warstw przypowierzchniowych w rejonie Działoszyc zdominowana jest przez plejstoceńskie utwory eoliczne, głównie pokrywy lessowe i pyłowe. Ich miąższość wynosi przeciętnie od kilku do kilkunastu metrów, przy czym wykazują one znaczną zmienność morfologiczną zarówno </w:t>
      </w:r>
      <w:r w:rsidR="000B32A0">
        <w:rPr>
          <w:sz w:val="20"/>
          <w:szCs w:val="20"/>
        </w:rPr>
        <w:br/>
      </w:r>
      <w:r w:rsidRPr="00226C00">
        <w:rPr>
          <w:sz w:val="20"/>
          <w:szCs w:val="20"/>
        </w:rPr>
        <w:t xml:space="preserve">w skali regionalnej, jak i lokalnej. Uzupełnieniem obrazu geologicznego są doliny płaskodenne rzek Jakubówki, </w:t>
      </w:r>
      <w:proofErr w:type="spellStart"/>
      <w:r w:rsidRPr="00226C00">
        <w:rPr>
          <w:sz w:val="20"/>
          <w:szCs w:val="20"/>
        </w:rPr>
        <w:t>Sancygniówki</w:t>
      </w:r>
      <w:proofErr w:type="spellEnd"/>
      <w:r w:rsidRPr="00226C00">
        <w:rPr>
          <w:sz w:val="20"/>
          <w:szCs w:val="20"/>
        </w:rPr>
        <w:t xml:space="preserve"> oraz Nidzicy, których osady stanowią holoceńskie piaski rzeczne i namuły wypełniające tarasy zalewowe oraz dna dolin. Osady te graniczą z polodowcowymi glinami zwałowymi związanymi z kompleksami glacjalnymi południowej Polski.</w:t>
      </w:r>
      <w:r>
        <w:rPr>
          <w:sz w:val="20"/>
          <w:szCs w:val="20"/>
        </w:rPr>
        <w:t xml:space="preserve"> </w:t>
      </w:r>
      <w:r w:rsidRPr="00226C00">
        <w:rPr>
          <w:sz w:val="20"/>
          <w:szCs w:val="20"/>
        </w:rPr>
        <w:t xml:space="preserve">W podłożu mogą lokalnie występować wychodnie gipsów lub anhydrytów wieku mioceńskiego, często w asocjacji z przewarstwieniami iłów, margli, wapieni marglistych, a także soli kamiennej i wapieni z obecnością siarki – jednostek </w:t>
      </w:r>
      <w:proofErr w:type="spellStart"/>
      <w:r w:rsidRPr="00226C00">
        <w:rPr>
          <w:sz w:val="20"/>
          <w:szCs w:val="20"/>
        </w:rPr>
        <w:t>litostratygraficznych</w:t>
      </w:r>
      <w:proofErr w:type="spellEnd"/>
      <w:r w:rsidRPr="00226C00">
        <w:rPr>
          <w:sz w:val="20"/>
          <w:szCs w:val="20"/>
        </w:rPr>
        <w:t xml:space="preserve"> zaliczanych do formacji z Krzyżanowic.</w:t>
      </w:r>
      <w:r>
        <w:rPr>
          <w:sz w:val="20"/>
          <w:szCs w:val="20"/>
        </w:rPr>
        <w:t xml:space="preserve"> </w:t>
      </w:r>
      <w:r w:rsidRPr="00226C00">
        <w:rPr>
          <w:sz w:val="20"/>
          <w:szCs w:val="20"/>
        </w:rPr>
        <w:t>Podsumowując, obszar objęty badaniami geofizycznymi charakteryzuje się dominacją osadów lessowych i pyłowych o niskiej oporności elektrycznej, lokalnie wzbogaconych o wkładki glin zwałowych oraz osadów aluwialnych.</w:t>
      </w:r>
    </w:p>
    <w:p w14:paraId="1065E095" w14:textId="1AF511FC" w:rsidR="00840794" w:rsidRPr="00505A57" w:rsidRDefault="00840794" w:rsidP="00840794">
      <w:pPr>
        <w:pStyle w:val="Akapitzlist"/>
        <w:numPr>
          <w:ilvl w:val="0"/>
          <w:numId w:val="1"/>
        </w:numPr>
        <w:rPr>
          <w:b/>
          <w:bCs/>
          <w:sz w:val="20"/>
          <w:szCs w:val="20"/>
        </w:rPr>
      </w:pPr>
      <w:r w:rsidRPr="007B4278">
        <w:rPr>
          <w:b/>
          <w:bCs/>
        </w:rPr>
        <w:t>Opis</w:t>
      </w:r>
      <w:r w:rsidRPr="00505A57">
        <w:rPr>
          <w:b/>
          <w:bCs/>
          <w:sz w:val="20"/>
          <w:szCs w:val="20"/>
        </w:rPr>
        <w:t xml:space="preserve"> </w:t>
      </w:r>
      <w:r w:rsidRPr="007B4278">
        <w:rPr>
          <w:b/>
          <w:bCs/>
        </w:rPr>
        <w:t>metod</w:t>
      </w:r>
    </w:p>
    <w:p w14:paraId="41370F38" w14:textId="4CC9E5B3" w:rsidR="00840794" w:rsidRPr="00505A57" w:rsidRDefault="004F6F09" w:rsidP="00DB027E">
      <w:pPr>
        <w:ind w:left="360"/>
        <w:jc w:val="both"/>
        <w:rPr>
          <w:sz w:val="20"/>
          <w:szCs w:val="20"/>
        </w:rPr>
      </w:pPr>
      <w:r w:rsidRPr="004F6F09">
        <w:rPr>
          <w:sz w:val="20"/>
          <w:szCs w:val="20"/>
        </w:rPr>
        <w:t xml:space="preserve">W niniejszym rozdziale przedstawiono charakterystykę metody </w:t>
      </w:r>
      <w:proofErr w:type="spellStart"/>
      <w:r w:rsidRPr="004F6F09">
        <w:rPr>
          <w:sz w:val="20"/>
          <w:szCs w:val="20"/>
        </w:rPr>
        <w:t>georadarowej</w:t>
      </w:r>
      <w:proofErr w:type="spellEnd"/>
      <w:r w:rsidRPr="004F6F09">
        <w:rPr>
          <w:sz w:val="20"/>
          <w:szCs w:val="20"/>
        </w:rPr>
        <w:t xml:space="preserve"> (GPR), która – podobnie jak </w:t>
      </w:r>
      <w:r>
        <w:rPr>
          <w:sz w:val="20"/>
          <w:szCs w:val="20"/>
        </w:rPr>
        <w:t xml:space="preserve">opisane w poprzednim raporcie metody geofizyczne </w:t>
      </w:r>
      <w:r w:rsidRPr="004F6F09">
        <w:rPr>
          <w:sz w:val="20"/>
          <w:szCs w:val="20"/>
        </w:rPr>
        <w:t xml:space="preserve"> – znajduje szerokie zastosowanie w badaniach archeologicznych. </w:t>
      </w:r>
      <w:proofErr w:type="spellStart"/>
      <w:r w:rsidRPr="004F6F09">
        <w:rPr>
          <w:sz w:val="20"/>
          <w:szCs w:val="20"/>
        </w:rPr>
        <w:t>Georadar</w:t>
      </w:r>
      <w:proofErr w:type="spellEnd"/>
      <w:r w:rsidRPr="004F6F09">
        <w:rPr>
          <w:sz w:val="20"/>
          <w:szCs w:val="20"/>
        </w:rPr>
        <w:t xml:space="preserve"> należy do grupy nieinwazyjnych metod prospekcji geofizycznej i umożliwia detekcję podpowierzchniowych struktur o zróżnicowanych właściwościach dielektrycznych, bez potrzeby prowadzenia ingerencyjnych prac ziemnych. Dzięki wysokiej rozdzielczości i zdolności obrazowania ciągłych przekrojów podłoża, metoda ta pozwala na skuteczne rozpoznanie zarówno obiektów o charakterze antropogenicznym, jak i naturalnych zmian litologicznych. W dalszej części </w:t>
      </w:r>
      <w:r w:rsidRPr="004F6F09">
        <w:rPr>
          <w:sz w:val="20"/>
          <w:szCs w:val="20"/>
        </w:rPr>
        <w:lastRenderedPageBreak/>
        <w:t xml:space="preserve">rozdziału omówiono podstawy fizyczne działania </w:t>
      </w:r>
      <w:proofErr w:type="spellStart"/>
      <w:r w:rsidRPr="004F6F09">
        <w:rPr>
          <w:sz w:val="20"/>
          <w:szCs w:val="20"/>
        </w:rPr>
        <w:t>georadaru</w:t>
      </w:r>
      <w:proofErr w:type="spellEnd"/>
      <w:r w:rsidRPr="004F6F09">
        <w:rPr>
          <w:sz w:val="20"/>
          <w:szCs w:val="20"/>
        </w:rPr>
        <w:t>, zakres jego zastosowań, sposób prowadzenia pomiarów oraz specyfikę interpretacji danych w kontekście badań archeologicznych.</w:t>
      </w:r>
      <w:r w:rsidR="00B13A24">
        <w:rPr>
          <w:sz w:val="20"/>
          <w:szCs w:val="20"/>
        </w:rPr>
        <w:t xml:space="preserve"> </w:t>
      </w:r>
    </w:p>
    <w:p w14:paraId="42ADB8B6" w14:textId="3B6209B0" w:rsidR="00840794" w:rsidRPr="00505A57" w:rsidRDefault="00255709" w:rsidP="00840794">
      <w:pPr>
        <w:pStyle w:val="Akapitzlist"/>
        <w:numPr>
          <w:ilvl w:val="1"/>
          <w:numId w:val="1"/>
        </w:numPr>
        <w:rPr>
          <w:b/>
          <w:bCs/>
          <w:sz w:val="20"/>
          <w:szCs w:val="20"/>
        </w:rPr>
      </w:pPr>
      <w:r>
        <w:rPr>
          <w:b/>
          <w:bCs/>
          <w:sz w:val="20"/>
          <w:szCs w:val="20"/>
        </w:rPr>
        <w:t>GPR</w:t>
      </w:r>
    </w:p>
    <w:p w14:paraId="56834989" w14:textId="77777777" w:rsidR="00255709" w:rsidRDefault="00255709" w:rsidP="00255709">
      <w:pPr>
        <w:ind w:left="360"/>
        <w:jc w:val="both"/>
        <w:rPr>
          <w:sz w:val="20"/>
          <w:szCs w:val="20"/>
        </w:rPr>
      </w:pPr>
      <w:proofErr w:type="spellStart"/>
      <w:r w:rsidRPr="00255709">
        <w:rPr>
          <w:sz w:val="20"/>
          <w:szCs w:val="20"/>
        </w:rPr>
        <w:t>Georadar</w:t>
      </w:r>
      <w:proofErr w:type="spellEnd"/>
      <w:r w:rsidRPr="00255709">
        <w:rPr>
          <w:sz w:val="20"/>
          <w:szCs w:val="20"/>
        </w:rPr>
        <w:t xml:space="preserve">, znany również jako radar penetrujący grunt (ang. </w:t>
      </w:r>
      <w:proofErr w:type="spellStart"/>
      <w:r w:rsidRPr="00255709">
        <w:rPr>
          <w:sz w:val="20"/>
          <w:szCs w:val="20"/>
        </w:rPr>
        <w:t>ground-penetrating</w:t>
      </w:r>
      <w:proofErr w:type="spellEnd"/>
      <w:r w:rsidRPr="00255709">
        <w:rPr>
          <w:sz w:val="20"/>
          <w:szCs w:val="20"/>
        </w:rPr>
        <w:t xml:space="preserve"> radar, GPR), to metoda geofizyczna o wysokiej rozdzielczości i mobilności. GPR używa wysokoczęstotliwościowych fal radiowych (zwykle w zakresie 10 MHz do 2,6 GHz). Nadajnik i antena GPR emitują falę elektromagnetyczną w głąb ziemi. Gdy napotyka ona na pogrążony w ziemi obiekt lub granicę między materiałami o różnych przenikalnościach elektrycznych, może zostać odbita, załamana lub rozproszona z powrotem na powierzchnię. Antena odbiorcza rejestruje zmiany w sygnale powrotnym. Zasady działania są podobne do sejsmiki, jednak metody GPR wykorzystują falę elektromagnetyczną zamiast akustycznej. Głębokość badania GPR może być ograniczona przez przewodność elektryczną podłoża, częstotliwość wysyłanego sygnału i moc promieniowania. Wzrost przewodności elektrycznej tłumi wprowadzoną falę elektromagnetyczną, co skraca głębokość penetracji. Wyższe częstotliwości nie penetrują tak głęboko jak niższe, jednak mogą zapewnić lepszą rozdzielczość. Analiza takich danych pomiarowych jest możliwa dzięki specjalistycznemu oprogramowaniu, które generuje obrazy przypominające przekroje przez badane medium. Przykłady takich przekrojów obejmują geologiczne warstwowanie gruntów i skał, struktury budowlane (np. dróg, mostów), podziemne przeszkody i pustki, zabytki archeologiczne, instalacje podziemne oraz wiele innych.</w:t>
      </w:r>
    </w:p>
    <w:p w14:paraId="586EA003" w14:textId="70BC3803" w:rsidR="000B32A0" w:rsidRDefault="00255709" w:rsidP="00550FE9">
      <w:pPr>
        <w:pStyle w:val="Akapitzlist"/>
        <w:ind w:left="360"/>
        <w:jc w:val="both"/>
        <w:rPr>
          <w:sz w:val="20"/>
          <w:szCs w:val="20"/>
        </w:rPr>
      </w:pPr>
      <w:r w:rsidRPr="00255709">
        <w:rPr>
          <w:sz w:val="20"/>
          <w:szCs w:val="20"/>
        </w:rPr>
        <w:t xml:space="preserve">W omawianym przypadku badania zostały przeprowadzone przy użyciu urządzenia </w:t>
      </w:r>
      <w:proofErr w:type="spellStart"/>
      <w:r w:rsidRPr="00255709">
        <w:rPr>
          <w:sz w:val="20"/>
          <w:szCs w:val="20"/>
        </w:rPr>
        <w:t>Mala</w:t>
      </w:r>
      <w:proofErr w:type="spellEnd"/>
      <w:r w:rsidRPr="00255709">
        <w:rPr>
          <w:sz w:val="20"/>
          <w:szCs w:val="20"/>
        </w:rPr>
        <w:t xml:space="preserve"> RAMAC GPR z anteną ekranowaną o częstotliwości 500 MHz. </w:t>
      </w:r>
      <w:r w:rsidR="00AE384A" w:rsidRPr="00AE384A">
        <w:rPr>
          <w:sz w:val="20"/>
          <w:szCs w:val="20"/>
        </w:rPr>
        <w:t xml:space="preserve">Dane zostały zebrane na trzech obszarach badawczych oznaczonych jako 2, 3 i 4. Na obszarze 2 wykonano 11 profili, natomiast na obszarach </w:t>
      </w:r>
      <w:r w:rsidR="00550FE9">
        <w:rPr>
          <w:sz w:val="20"/>
          <w:szCs w:val="20"/>
        </w:rPr>
        <w:br/>
      </w:r>
      <w:r w:rsidR="00AE384A" w:rsidRPr="00AE384A">
        <w:rPr>
          <w:sz w:val="20"/>
          <w:szCs w:val="20"/>
        </w:rPr>
        <w:t xml:space="preserve">3 i 4 – po pięć profili. Wszystkie profile prowadzono równolegle, w odstępach około 1 metra. </w:t>
      </w:r>
      <w:r w:rsidR="00550FE9">
        <w:rPr>
          <w:sz w:val="20"/>
          <w:szCs w:val="20"/>
        </w:rPr>
        <w:br/>
      </w:r>
      <w:r w:rsidR="00AE384A" w:rsidRPr="00AE384A">
        <w:rPr>
          <w:sz w:val="20"/>
          <w:szCs w:val="20"/>
        </w:rPr>
        <w:t xml:space="preserve">Na obszarze 2 długość profili wynosiła około 8 metrów, natomiast na pozostałych dwóch obszarach – około 10 metrów. W przeciwieństwie do wcześniej zastosowanych metod, w przypadku badań </w:t>
      </w:r>
      <w:proofErr w:type="spellStart"/>
      <w:r w:rsidR="00AE384A" w:rsidRPr="00AE384A">
        <w:rPr>
          <w:sz w:val="20"/>
          <w:szCs w:val="20"/>
        </w:rPr>
        <w:t>georadarowych</w:t>
      </w:r>
      <w:proofErr w:type="spellEnd"/>
      <w:r w:rsidR="00AE384A" w:rsidRPr="00AE384A">
        <w:rPr>
          <w:sz w:val="20"/>
          <w:szCs w:val="20"/>
        </w:rPr>
        <w:t xml:space="preserve"> pominięto obszary 1 i 5 ze względu na techniczne trudności uniemożliwiające poprawne przeprowadzenie pomiarów.</w:t>
      </w:r>
    </w:p>
    <w:p w14:paraId="2A9522F7" w14:textId="77777777" w:rsidR="00550FE9" w:rsidRDefault="00550FE9" w:rsidP="00550FE9">
      <w:pPr>
        <w:pStyle w:val="Akapitzlist"/>
        <w:ind w:left="360"/>
        <w:jc w:val="both"/>
        <w:rPr>
          <w:b/>
          <w:bCs/>
        </w:rPr>
      </w:pPr>
    </w:p>
    <w:p w14:paraId="463C3603" w14:textId="221345EF" w:rsidR="00840794" w:rsidRPr="00505A57" w:rsidRDefault="00840794" w:rsidP="00840794">
      <w:pPr>
        <w:pStyle w:val="Akapitzlist"/>
        <w:numPr>
          <w:ilvl w:val="0"/>
          <w:numId w:val="1"/>
        </w:numPr>
        <w:rPr>
          <w:b/>
          <w:bCs/>
          <w:sz w:val="20"/>
          <w:szCs w:val="20"/>
        </w:rPr>
      </w:pPr>
      <w:r w:rsidRPr="007B4278">
        <w:rPr>
          <w:b/>
          <w:bCs/>
        </w:rPr>
        <w:t>Przetwarzanie</w:t>
      </w:r>
    </w:p>
    <w:p w14:paraId="744F562D" w14:textId="0DEB0881" w:rsidR="00550FE9" w:rsidRDefault="00550FE9" w:rsidP="000B32A0">
      <w:pPr>
        <w:ind w:left="360"/>
        <w:jc w:val="both"/>
        <w:rPr>
          <w:sz w:val="20"/>
          <w:szCs w:val="20"/>
        </w:rPr>
      </w:pPr>
      <w:r w:rsidRPr="00550FE9">
        <w:rPr>
          <w:sz w:val="20"/>
          <w:szCs w:val="20"/>
        </w:rPr>
        <w:t xml:space="preserve">Metoda </w:t>
      </w:r>
      <w:proofErr w:type="spellStart"/>
      <w:r w:rsidRPr="00550FE9">
        <w:rPr>
          <w:sz w:val="20"/>
          <w:szCs w:val="20"/>
        </w:rPr>
        <w:t>georadarowa</w:t>
      </w:r>
      <w:proofErr w:type="spellEnd"/>
      <w:r w:rsidRPr="00550FE9">
        <w:rPr>
          <w:sz w:val="20"/>
          <w:szCs w:val="20"/>
        </w:rPr>
        <w:t xml:space="preserve"> wymaga wstępnego przetworzenia zarejestrowanych danych pomiarowych, </w:t>
      </w:r>
      <w:r>
        <w:rPr>
          <w:sz w:val="20"/>
          <w:szCs w:val="20"/>
        </w:rPr>
        <w:br/>
      </w:r>
      <w:r w:rsidRPr="00550FE9">
        <w:rPr>
          <w:sz w:val="20"/>
          <w:szCs w:val="20"/>
        </w:rPr>
        <w:t xml:space="preserve">a następnie ich właściwej interpretacji w kontekście geofizycznym i archeologicznym. Szczegółowy opis poszczególnych etapów przetwarzania danych zostanie przedstawiony odrębnie. Pomiary </w:t>
      </w:r>
      <w:proofErr w:type="spellStart"/>
      <w:r w:rsidRPr="00550FE9">
        <w:rPr>
          <w:sz w:val="20"/>
          <w:szCs w:val="20"/>
        </w:rPr>
        <w:t>georadarowe</w:t>
      </w:r>
      <w:proofErr w:type="spellEnd"/>
      <w:r>
        <w:rPr>
          <w:sz w:val="20"/>
          <w:szCs w:val="20"/>
        </w:rPr>
        <w:t xml:space="preserve"> </w:t>
      </w:r>
      <w:r w:rsidRPr="00550FE9">
        <w:rPr>
          <w:sz w:val="20"/>
          <w:szCs w:val="20"/>
        </w:rPr>
        <w:t xml:space="preserve">planowano na pięciu poligonach badawczych, zlokalizowanych w bezpośrednim sąsiedztwie. W przeciwieństwie do wcześniej zastosowanych metod, w przypadku badań </w:t>
      </w:r>
      <w:proofErr w:type="spellStart"/>
      <w:r w:rsidRPr="00550FE9">
        <w:rPr>
          <w:sz w:val="20"/>
          <w:szCs w:val="20"/>
        </w:rPr>
        <w:t>georadarowych</w:t>
      </w:r>
      <w:proofErr w:type="spellEnd"/>
      <w:r w:rsidRPr="00550FE9">
        <w:rPr>
          <w:sz w:val="20"/>
          <w:szCs w:val="20"/>
        </w:rPr>
        <w:t xml:space="preserve"> pominięto jednak obszary 1 i 5. Każdy z pozostałych obszarów stanowił odrębne zadanie interpretacyjne.</w:t>
      </w:r>
    </w:p>
    <w:p w14:paraId="542EA810" w14:textId="15DA572F" w:rsidR="000B32A0" w:rsidRDefault="00C65127" w:rsidP="000B32A0">
      <w:pPr>
        <w:ind w:left="360"/>
        <w:jc w:val="both"/>
        <w:rPr>
          <w:sz w:val="20"/>
          <w:szCs w:val="20"/>
        </w:rPr>
      </w:pPr>
      <w:r w:rsidRPr="00C65127">
        <w:rPr>
          <w:sz w:val="20"/>
          <w:szCs w:val="20"/>
        </w:rPr>
        <w:t xml:space="preserve">Badania przeprowadzono na trzech poligonach badawczych zlokalizowanych w bezpośrednim sąsiedztwie miejsca upamiętnienia Cmentarza Żydowskiego w Działoszycach oraz na dwóch dodatkowych obszarach pomiarowych, położonych w pewnym oddaleniu – po przeciwnych stronach drogi leśnej. Teren badań charakteryzował się znacznym stopniem złożoności w kontekście zastosowanych metod geofizycznych. Dla </w:t>
      </w:r>
      <w:r w:rsidR="00550FE9">
        <w:rPr>
          <w:sz w:val="20"/>
          <w:szCs w:val="20"/>
        </w:rPr>
        <w:t>dwóch</w:t>
      </w:r>
      <w:r w:rsidRPr="00C65127">
        <w:rPr>
          <w:sz w:val="20"/>
          <w:szCs w:val="20"/>
        </w:rPr>
        <w:t xml:space="preserve"> pierwszych poligonów istotnym źródłem zakłóceń była przebiegająca w pobliżu linia energetyczna. Dodatkowo, w bezpośredniej bliskości poligonów </w:t>
      </w:r>
      <w:r w:rsidR="00A669D5">
        <w:rPr>
          <w:sz w:val="20"/>
          <w:szCs w:val="20"/>
        </w:rPr>
        <w:br/>
      </w:r>
      <w:r w:rsidRPr="00C65127">
        <w:rPr>
          <w:sz w:val="20"/>
          <w:szCs w:val="20"/>
        </w:rPr>
        <w:t xml:space="preserve">2 i 3 zlokalizowane jest metalowe ogrodzenie pomnika, co znacząco wpłynęło na jakość danych. </w:t>
      </w:r>
    </w:p>
    <w:p w14:paraId="16F2B4FD" w14:textId="3BD9684E" w:rsidR="00550FE9" w:rsidRDefault="00C65127" w:rsidP="000B32A0">
      <w:pPr>
        <w:ind w:left="360"/>
        <w:jc w:val="both"/>
        <w:rPr>
          <w:sz w:val="20"/>
          <w:szCs w:val="20"/>
        </w:rPr>
      </w:pPr>
      <w:r w:rsidRPr="000B32A0">
        <w:rPr>
          <w:sz w:val="20"/>
          <w:szCs w:val="20"/>
        </w:rPr>
        <w:t>Czwarty poligon zlokalizowany był w obrębie wąwozu lessowego</w:t>
      </w:r>
      <w:r w:rsidR="00550FE9">
        <w:rPr>
          <w:sz w:val="20"/>
          <w:szCs w:val="20"/>
        </w:rPr>
        <w:t xml:space="preserve">. </w:t>
      </w:r>
      <w:r w:rsidRPr="000B32A0">
        <w:rPr>
          <w:sz w:val="20"/>
          <w:szCs w:val="20"/>
        </w:rPr>
        <w:t>Na ty</w:t>
      </w:r>
      <w:r w:rsidR="00550FE9">
        <w:rPr>
          <w:sz w:val="20"/>
          <w:szCs w:val="20"/>
        </w:rPr>
        <w:t xml:space="preserve">m </w:t>
      </w:r>
      <w:r w:rsidRPr="000B32A0">
        <w:rPr>
          <w:sz w:val="20"/>
          <w:szCs w:val="20"/>
        </w:rPr>
        <w:t>stanowisk</w:t>
      </w:r>
      <w:r w:rsidR="00550FE9">
        <w:rPr>
          <w:sz w:val="20"/>
          <w:szCs w:val="20"/>
        </w:rPr>
        <w:t>u</w:t>
      </w:r>
      <w:r w:rsidRPr="000B32A0">
        <w:rPr>
          <w:sz w:val="20"/>
          <w:szCs w:val="20"/>
        </w:rPr>
        <w:t xml:space="preserve"> główne zakłócenia wynikały z obecności porozrzucanych fragmentów metalu, takich jak druty, puszki, stare naczynia czy kapsle. W miarę możliwości teren został uprzątnięty przed rozpoczęciem prac pomiarowych.</w:t>
      </w:r>
    </w:p>
    <w:p w14:paraId="1E8357A6" w14:textId="77777777" w:rsidR="00550FE9" w:rsidRDefault="00550FE9">
      <w:pPr>
        <w:rPr>
          <w:sz w:val="20"/>
          <w:szCs w:val="20"/>
        </w:rPr>
      </w:pPr>
      <w:r>
        <w:rPr>
          <w:sz w:val="20"/>
          <w:szCs w:val="20"/>
        </w:rPr>
        <w:br w:type="page"/>
      </w:r>
    </w:p>
    <w:p w14:paraId="13F1E55F" w14:textId="6862B97D" w:rsidR="00840794" w:rsidRPr="000B32A0" w:rsidRDefault="00AE384A" w:rsidP="000B32A0">
      <w:pPr>
        <w:pStyle w:val="Akapitzlist"/>
        <w:numPr>
          <w:ilvl w:val="1"/>
          <w:numId w:val="1"/>
        </w:numPr>
        <w:rPr>
          <w:b/>
          <w:bCs/>
          <w:sz w:val="20"/>
          <w:szCs w:val="20"/>
        </w:rPr>
      </w:pPr>
      <w:r>
        <w:rPr>
          <w:b/>
          <w:bCs/>
          <w:sz w:val="20"/>
          <w:szCs w:val="20"/>
        </w:rPr>
        <w:lastRenderedPageBreak/>
        <w:t>GPR</w:t>
      </w:r>
    </w:p>
    <w:p w14:paraId="6C53987E" w14:textId="44E48E00" w:rsidR="00AE384A" w:rsidRDefault="00AE384A" w:rsidP="00AE384A">
      <w:pPr>
        <w:pStyle w:val="Akapitzlist"/>
        <w:ind w:left="360"/>
        <w:jc w:val="both"/>
        <w:rPr>
          <w:sz w:val="20"/>
          <w:szCs w:val="20"/>
        </w:rPr>
      </w:pPr>
      <w:r w:rsidRPr="00AE384A">
        <w:rPr>
          <w:sz w:val="20"/>
          <w:szCs w:val="20"/>
        </w:rPr>
        <w:t>Przetwarzanie danych wykonane zostało wykonane z użyciem standardowych procedur – o nieco różniących się parametrach dla kolejnych profili. Na podstawie danych geologicznych średnia prędkość fali elektromagnetycznej w badanych utworach została oszacowana na 0.1</w:t>
      </w:r>
      <w:r w:rsidRPr="00AE384A">
        <w:rPr>
          <w:sz w:val="20"/>
          <w:szCs w:val="20"/>
        </w:rPr>
        <w:t>1</w:t>
      </w:r>
      <w:r w:rsidRPr="00AE384A">
        <w:rPr>
          <w:sz w:val="20"/>
          <w:szCs w:val="20"/>
        </w:rPr>
        <w:t xml:space="preserve"> m/</w:t>
      </w:r>
      <w:proofErr w:type="spellStart"/>
      <w:r w:rsidRPr="00AE384A">
        <w:rPr>
          <w:sz w:val="20"/>
          <w:szCs w:val="20"/>
        </w:rPr>
        <w:t>ns</w:t>
      </w:r>
      <w:proofErr w:type="spellEnd"/>
      <w:r w:rsidRPr="00AE384A">
        <w:rPr>
          <w:sz w:val="20"/>
          <w:szCs w:val="20"/>
        </w:rPr>
        <w:t>. Zastosowana została następująca sekwencja przetwarzania:</w:t>
      </w:r>
    </w:p>
    <w:p w14:paraId="1D964DB6" w14:textId="77777777" w:rsidR="00AE384A" w:rsidRPr="00AE384A" w:rsidRDefault="00AE384A" w:rsidP="00AE384A">
      <w:pPr>
        <w:pStyle w:val="Akapitzlist"/>
        <w:ind w:left="360"/>
        <w:jc w:val="both"/>
        <w:rPr>
          <w:sz w:val="20"/>
          <w:szCs w:val="20"/>
        </w:rPr>
      </w:pPr>
    </w:p>
    <w:p w14:paraId="5E0E0FC9" w14:textId="73BB7E2F" w:rsidR="00AE384A" w:rsidRPr="00AE384A" w:rsidRDefault="00AE384A" w:rsidP="00AE384A">
      <w:pPr>
        <w:pStyle w:val="Akapitzlist"/>
        <w:numPr>
          <w:ilvl w:val="0"/>
          <w:numId w:val="2"/>
        </w:numPr>
        <w:jc w:val="both"/>
        <w:rPr>
          <w:sz w:val="20"/>
          <w:szCs w:val="20"/>
        </w:rPr>
      </w:pPr>
      <w:proofErr w:type="spellStart"/>
      <w:r w:rsidRPr="00AE384A">
        <w:rPr>
          <w:i/>
          <w:iCs/>
          <w:sz w:val="20"/>
          <w:szCs w:val="20"/>
        </w:rPr>
        <w:t>move</w:t>
      </w:r>
      <w:proofErr w:type="spellEnd"/>
      <w:r w:rsidRPr="00AE384A">
        <w:rPr>
          <w:i/>
          <w:iCs/>
          <w:sz w:val="20"/>
          <w:szCs w:val="20"/>
        </w:rPr>
        <w:t xml:space="preserve"> </w:t>
      </w:r>
      <w:proofErr w:type="spellStart"/>
      <w:r w:rsidRPr="00AE384A">
        <w:rPr>
          <w:i/>
          <w:iCs/>
          <w:sz w:val="20"/>
          <w:szCs w:val="20"/>
        </w:rPr>
        <w:t>starttime</w:t>
      </w:r>
      <w:proofErr w:type="spellEnd"/>
      <w:r w:rsidRPr="00AE384A">
        <w:rPr>
          <w:i/>
          <w:iCs/>
          <w:sz w:val="20"/>
          <w:szCs w:val="20"/>
        </w:rPr>
        <w:t xml:space="preserve"> </w:t>
      </w:r>
      <w:r w:rsidRPr="00AE384A">
        <w:rPr>
          <w:sz w:val="20"/>
          <w:szCs w:val="20"/>
        </w:rPr>
        <w:t>– jest to procedura mająca na celu korektę 0 sygnału. Wykonywana jest osobno dla każdej trasy poprzez przesunięcie czasu zerowego – na pierwsze wejście fali. Ma to na celu korektę głębokości. Dla profili WYS1 korekta ta wynosiła -3.</w:t>
      </w:r>
      <w:r w:rsidRPr="00AE384A">
        <w:rPr>
          <w:sz w:val="20"/>
          <w:szCs w:val="20"/>
        </w:rPr>
        <w:t>8</w:t>
      </w:r>
      <w:r w:rsidRPr="00AE384A">
        <w:rPr>
          <w:sz w:val="20"/>
          <w:szCs w:val="20"/>
        </w:rPr>
        <w:t xml:space="preserve"> </w:t>
      </w:r>
      <w:proofErr w:type="spellStart"/>
      <w:r w:rsidRPr="00AE384A">
        <w:rPr>
          <w:sz w:val="20"/>
          <w:szCs w:val="20"/>
        </w:rPr>
        <w:t>ns</w:t>
      </w:r>
      <w:proofErr w:type="spellEnd"/>
      <w:r w:rsidRPr="00AE384A">
        <w:rPr>
          <w:sz w:val="20"/>
          <w:szCs w:val="20"/>
        </w:rPr>
        <w:t>.</w:t>
      </w:r>
    </w:p>
    <w:p w14:paraId="5C806F27" w14:textId="2B79E2C1" w:rsidR="00AE384A" w:rsidRPr="00AE384A" w:rsidRDefault="00AE384A" w:rsidP="00AE384A">
      <w:pPr>
        <w:pStyle w:val="Akapitzlist"/>
        <w:numPr>
          <w:ilvl w:val="0"/>
          <w:numId w:val="2"/>
        </w:numPr>
        <w:jc w:val="both"/>
        <w:rPr>
          <w:sz w:val="20"/>
          <w:szCs w:val="20"/>
        </w:rPr>
      </w:pPr>
      <w:proofErr w:type="spellStart"/>
      <w:r w:rsidRPr="00AE384A">
        <w:rPr>
          <w:i/>
          <w:iCs/>
          <w:sz w:val="20"/>
          <w:szCs w:val="20"/>
        </w:rPr>
        <w:t>bandpassbutteworth</w:t>
      </w:r>
      <w:proofErr w:type="spellEnd"/>
      <w:r w:rsidRPr="00AE384A">
        <w:rPr>
          <w:i/>
          <w:iCs/>
          <w:sz w:val="20"/>
          <w:szCs w:val="20"/>
        </w:rPr>
        <w:t xml:space="preserve"> 350-650 MHz – </w:t>
      </w:r>
      <w:r w:rsidRPr="00AE384A">
        <w:rPr>
          <w:sz w:val="20"/>
          <w:szCs w:val="20"/>
        </w:rPr>
        <w:t xml:space="preserve">jest to filtr pasmowy przepustowy </w:t>
      </w:r>
      <w:proofErr w:type="spellStart"/>
      <w:r w:rsidRPr="00AE384A">
        <w:rPr>
          <w:sz w:val="20"/>
          <w:szCs w:val="20"/>
        </w:rPr>
        <w:t>Butterwortha</w:t>
      </w:r>
      <w:proofErr w:type="spellEnd"/>
      <w:r w:rsidRPr="00AE384A">
        <w:rPr>
          <w:sz w:val="20"/>
          <w:szCs w:val="20"/>
        </w:rPr>
        <w:t>, który ma na celu odcięcie sygnału o częstotliwościach znacznie wyższych lub niższych od sygnału nadawanego z anteny. W tym przypadku przyjęto okno o szerokości 300MHz, tak aby środkowa częstotliwość odpowiadała częstotliwości anteny.</w:t>
      </w:r>
    </w:p>
    <w:p w14:paraId="36625D78" w14:textId="77777777" w:rsidR="00AE384A" w:rsidRDefault="00AE384A" w:rsidP="00AE384A">
      <w:pPr>
        <w:pStyle w:val="Akapitzlist"/>
        <w:numPr>
          <w:ilvl w:val="0"/>
          <w:numId w:val="2"/>
        </w:numPr>
        <w:jc w:val="both"/>
        <w:rPr>
          <w:sz w:val="20"/>
          <w:szCs w:val="20"/>
        </w:rPr>
      </w:pPr>
      <w:proofErr w:type="spellStart"/>
      <w:r w:rsidRPr="00AE384A">
        <w:rPr>
          <w:i/>
          <w:iCs/>
          <w:sz w:val="20"/>
          <w:szCs w:val="20"/>
        </w:rPr>
        <w:t>substract</w:t>
      </w:r>
      <w:proofErr w:type="spellEnd"/>
      <w:r w:rsidRPr="00AE384A">
        <w:rPr>
          <w:i/>
          <w:iCs/>
          <w:sz w:val="20"/>
          <w:szCs w:val="20"/>
        </w:rPr>
        <w:t xml:space="preserve"> </w:t>
      </w:r>
      <w:proofErr w:type="spellStart"/>
      <w:r w:rsidRPr="00AE384A">
        <w:rPr>
          <w:i/>
          <w:iCs/>
          <w:sz w:val="20"/>
          <w:szCs w:val="20"/>
        </w:rPr>
        <w:t>mean</w:t>
      </w:r>
      <w:proofErr w:type="spellEnd"/>
      <w:r w:rsidRPr="00AE384A">
        <w:rPr>
          <w:i/>
          <w:iCs/>
          <w:sz w:val="20"/>
          <w:szCs w:val="20"/>
        </w:rPr>
        <w:t xml:space="preserve"> (</w:t>
      </w:r>
      <w:proofErr w:type="spellStart"/>
      <w:r w:rsidRPr="00AE384A">
        <w:rPr>
          <w:i/>
          <w:iCs/>
          <w:sz w:val="20"/>
          <w:szCs w:val="20"/>
        </w:rPr>
        <w:t>dewow</w:t>
      </w:r>
      <w:proofErr w:type="spellEnd"/>
      <w:r w:rsidRPr="00AE384A">
        <w:rPr>
          <w:i/>
          <w:iCs/>
          <w:sz w:val="20"/>
          <w:szCs w:val="20"/>
        </w:rPr>
        <w:t>) -</w:t>
      </w:r>
      <w:r w:rsidRPr="00AE384A">
        <w:rPr>
          <w:sz w:val="20"/>
          <w:szCs w:val="20"/>
        </w:rPr>
        <w:t xml:space="preserve"> Filtr ten oblicza średnią wartość dla każdej trasy, korzystając z okna czasowego, które jest podane jako parametr filtra. Wyznaczona średnia wartość jest odejmowana od wartości centralnej, co pozwala na usunięcie dudnienia niskoczęstotliwościowego, zwanego jako "</w:t>
      </w:r>
      <w:proofErr w:type="spellStart"/>
      <w:r w:rsidRPr="00AE384A">
        <w:rPr>
          <w:i/>
          <w:iCs/>
          <w:sz w:val="20"/>
          <w:szCs w:val="20"/>
        </w:rPr>
        <w:t>wowing</w:t>
      </w:r>
      <w:proofErr w:type="spellEnd"/>
      <w:r w:rsidRPr="00AE384A">
        <w:rPr>
          <w:sz w:val="20"/>
          <w:szCs w:val="20"/>
        </w:rPr>
        <w:t>".</w:t>
      </w:r>
    </w:p>
    <w:p w14:paraId="7F88DBCB" w14:textId="0634E5D9" w:rsidR="00AE384A" w:rsidRPr="00AE384A" w:rsidRDefault="00AE384A" w:rsidP="00AE384A">
      <w:pPr>
        <w:pStyle w:val="Akapitzlist"/>
        <w:numPr>
          <w:ilvl w:val="0"/>
          <w:numId w:val="2"/>
        </w:numPr>
        <w:jc w:val="both"/>
        <w:rPr>
          <w:sz w:val="20"/>
          <w:szCs w:val="20"/>
        </w:rPr>
      </w:pPr>
      <w:proofErr w:type="spellStart"/>
      <w:r w:rsidRPr="00AE384A">
        <w:rPr>
          <w:i/>
          <w:iCs/>
          <w:sz w:val="20"/>
          <w:szCs w:val="20"/>
        </w:rPr>
        <w:t>substract</w:t>
      </w:r>
      <w:proofErr w:type="spellEnd"/>
      <w:r w:rsidRPr="00AE384A">
        <w:rPr>
          <w:i/>
          <w:iCs/>
          <w:sz w:val="20"/>
          <w:szCs w:val="20"/>
        </w:rPr>
        <w:t xml:space="preserve"> DC </w:t>
      </w:r>
      <w:proofErr w:type="spellStart"/>
      <w:r w:rsidRPr="00AE384A">
        <w:rPr>
          <w:i/>
          <w:iCs/>
          <w:sz w:val="20"/>
          <w:szCs w:val="20"/>
        </w:rPr>
        <w:t>shift</w:t>
      </w:r>
      <w:proofErr w:type="spellEnd"/>
      <w:r w:rsidRPr="00AE384A">
        <w:rPr>
          <w:sz w:val="20"/>
          <w:szCs w:val="20"/>
        </w:rPr>
        <w:t xml:space="preserve">– jest to procedura mająca na celu usunięcie szumów generowanych przez aparaturę i związanych z zasilaniem prądem stałym. Procedura ta jest niezbędna przy przetwarzaniu danych ze starszego typu anten. Okno czasowe zostało dobrane w taki sposób, aby ominąć wysokoamplitudową część sygnału a skupić się jedynie na jego końcowym fragmencie, a więc od 15 do 60 </w:t>
      </w:r>
      <w:proofErr w:type="spellStart"/>
      <w:r w:rsidRPr="00AE384A">
        <w:rPr>
          <w:sz w:val="20"/>
          <w:szCs w:val="20"/>
        </w:rPr>
        <w:t>ns</w:t>
      </w:r>
      <w:proofErr w:type="spellEnd"/>
      <w:r w:rsidRPr="00AE384A">
        <w:rPr>
          <w:sz w:val="20"/>
          <w:szCs w:val="20"/>
        </w:rPr>
        <w:t xml:space="preserve">. </w:t>
      </w:r>
    </w:p>
    <w:p w14:paraId="4064FFD2" w14:textId="2B77FA7F" w:rsidR="00AE384A" w:rsidRPr="00AE384A" w:rsidRDefault="00AE384A" w:rsidP="00850D28">
      <w:pPr>
        <w:pStyle w:val="Akapitzlist"/>
        <w:numPr>
          <w:ilvl w:val="0"/>
          <w:numId w:val="2"/>
        </w:numPr>
        <w:jc w:val="both"/>
        <w:rPr>
          <w:sz w:val="20"/>
          <w:szCs w:val="20"/>
        </w:rPr>
      </w:pPr>
      <w:proofErr w:type="spellStart"/>
      <w:r w:rsidRPr="00AE384A">
        <w:rPr>
          <w:i/>
          <w:iCs/>
          <w:sz w:val="20"/>
          <w:szCs w:val="20"/>
        </w:rPr>
        <w:t>background</w:t>
      </w:r>
      <w:proofErr w:type="spellEnd"/>
      <w:r w:rsidRPr="00AE384A">
        <w:rPr>
          <w:i/>
          <w:iCs/>
          <w:sz w:val="20"/>
          <w:szCs w:val="20"/>
        </w:rPr>
        <w:t xml:space="preserve"> </w:t>
      </w:r>
      <w:proofErr w:type="spellStart"/>
      <w:r w:rsidRPr="00AE384A">
        <w:rPr>
          <w:i/>
          <w:iCs/>
          <w:sz w:val="20"/>
          <w:szCs w:val="20"/>
        </w:rPr>
        <w:t>removal</w:t>
      </w:r>
      <w:proofErr w:type="spellEnd"/>
      <w:r w:rsidRPr="00AE384A">
        <w:rPr>
          <w:i/>
          <w:iCs/>
          <w:sz w:val="20"/>
          <w:szCs w:val="20"/>
        </w:rPr>
        <w:t xml:space="preserve"> </w:t>
      </w:r>
      <w:r w:rsidRPr="00AE384A">
        <w:rPr>
          <w:sz w:val="20"/>
          <w:szCs w:val="20"/>
        </w:rPr>
        <w:t xml:space="preserve">- Działanie tego filtra polega na usuwaniu tła, czyli szumów i innych </w:t>
      </w:r>
      <w:r w:rsidR="00850D28">
        <w:rPr>
          <w:sz w:val="20"/>
          <w:szCs w:val="20"/>
        </w:rPr>
        <w:t>z</w:t>
      </w:r>
      <w:r w:rsidRPr="00AE384A">
        <w:rPr>
          <w:sz w:val="20"/>
          <w:szCs w:val="20"/>
        </w:rPr>
        <w:t xml:space="preserve">akłóceń, które nie są interesujące z punktu widzenia badania. Dzięki temu, uzyskane wyniki są bardziej precyzyjne i pozwalają na bardziej dokładne zobrazowanie struktury podłoża. </w:t>
      </w:r>
    </w:p>
    <w:p w14:paraId="7DB6E58A" w14:textId="412904C3" w:rsidR="00AE384A" w:rsidRPr="00AE384A" w:rsidRDefault="00AE384A" w:rsidP="00AE384A">
      <w:pPr>
        <w:pStyle w:val="Akapitzlist"/>
        <w:numPr>
          <w:ilvl w:val="0"/>
          <w:numId w:val="2"/>
        </w:numPr>
        <w:jc w:val="both"/>
        <w:rPr>
          <w:sz w:val="20"/>
          <w:szCs w:val="20"/>
        </w:rPr>
      </w:pPr>
      <w:proofErr w:type="spellStart"/>
      <w:r w:rsidRPr="00AE384A">
        <w:rPr>
          <w:i/>
          <w:iCs/>
          <w:sz w:val="20"/>
          <w:szCs w:val="20"/>
        </w:rPr>
        <w:t>time</w:t>
      </w:r>
      <w:proofErr w:type="spellEnd"/>
      <w:r w:rsidRPr="00AE384A">
        <w:rPr>
          <w:i/>
          <w:iCs/>
          <w:sz w:val="20"/>
          <w:szCs w:val="20"/>
        </w:rPr>
        <w:t xml:space="preserve"> </w:t>
      </w:r>
      <w:proofErr w:type="spellStart"/>
      <w:r w:rsidRPr="00AE384A">
        <w:rPr>
          <w:i/>
          <w:iCs/>
          <w:sz w:val="20"/>
          <w:szCs w:val="20"/>
        </w:rPr>
        <w:t>cut</w:t>
      </w:r>
      <w:proofErr w:type="spellEnd"/>
      <w:r w:rsidRPr="00AE384A">
        <w:rPr>
          <w:i/>
          <w:iCs/>
          <w:sz w:val="20"/>
          <w:szCs w:val="20"/>
        </w:rPr>
        <w:t xml:space="preserve"> – </w:t>
      </w:r>
      <w:r w:rsidRPr="00AE384A">
        <w:rPr>
          <w:sz w:val="20"/>
          <w:szCs w:val="20"/>
        </w:rPr>
        <w:t xml:space="preserve">zastosowany został również filtr </w:t>
      </w:r>
      <w:proofErr w:type="spellStart"/>
      <w:r w:rsidRPr="00AE384A">
        <w:rPr>
          <w:sz w:val="20"/>
          <w:szCs w:val="20"/>
        </w:rPr>
        <w:t>wycięciowy</w:t>
      </w:r>
      <w:proofErr w:type="spellEnd"/>
      <w:r w:rsidRPr="00AE384A">
        <w:rPr>
          <w:sz w:val="20"/>
          <w:szCs w:val="20"/>
        </w:rPr>
        <w:t xml:space="preserve">, aby usunąć część zapisu, w której nie spodziewamy się już sygnału użytecznego, w omawianym przypadku wycięto sygnał poniżej </w:t>
      </w:r>
      <w:r w:rsidRPr="00AE384A">
        <w:rPr>
          <w:sz w:val="20"/>
          <w:szCs w:val="20"/>
        </w:rPr>
        <w:t>4</w:t>
      </w:r>
      <w:r w:rsidRPr="00AE384A">
        <w:rPr>
          <w:sz w:val="20"/>
          <w:szCs w:val="20"/>
        </w:rPr>
        <w:t xml:space="preserve">0 </w:t>
      </w:r>
      <w:proofErr w:type="spellStart"/>
      <w:r w:rsidRPr="00AE384A">
        <w:rPr>
          <w:sz w:val="20"/>
          <w:szCs w:val="20"/>
        </w:rPr>
        <w:t>ns</w:t>
      </w:r>
      <w:proofErr w:type="spellEnd"/>
      <w:r w:rsidRPr="00AE384A">
        <w:rPr>
          <w:sz w:val="20"/>
          <w:szCs w:val="20"/>
        </w:rPr>
        <w:t>.</w:t>
      </w:r>
    </w:p>
    <w:p w14:paraId="6C90DF8F" w14:textId="278838C3" w:rsidR="00AE384A" w:rsidRDefault="00AE384A" w:rsidP="00AE384A">
      <w:pPr>
        <w:pStyle w:val="Akapitzlist"/>
        <w:numPr>
          <w:ilvl w:val="0"/>
          <w:numId w:val="2"/>
        </w:numPr>
        <w:jc w:val="both"/>
        <w:rPr>
          <w:sz w:val="20"/>
          <w:szCs w:val="20"/>
        </w:rPr>
      </w:pPr>
      <w:proofErr w:type="spellStart"/>
      <w:r w:rsidRPr="00AE384A">
        <w:rPr>
          <w:i/>
          <w:iCs/>
          <w:sz w:val="20"/>
          <w:szCs w:val="20"/>
        </w:rPr>
        <w:t>gain</w:t>
      </w:r>
      <w:proofErr w:type="spellEnd"/>
      <w:r w:rsidRPr="00AE384A">
        <w:rPr>
          <w:i/>
          <w:iCs/>
          <w:sz w:val="20"/>
          <w:szCs w:val="20"/>
        </w:rPr>
        <w:t xml:space="preserve"> </w:t>
      </w:r>
      <w:proofErr w:type="spellStart"/>
      <w:r w:rsidRPr="00AE384A">
        <w:rPr>
          <w:i/>
          <w:iCs/>
          <w:sz w:val="20"/>
          <w:szCs w:val="20"/>
        </w:rPr>
        <w:t>function</w:t>
      </w:r>
      <w:proofErr w:type="spellEnd"/>
      <w:r w:rsidRPr="00AE384A">
        <w:rPr>
          <w:i/>
          <w:iCs/>
          <w:sz w:val="20"/>
          <w:szCs w:val="20"/>
        </w:rPr>
        <w:t xml:space="preserve"> - </w:t>
      </w:r>
      <w:r w:rsidRPr="00AE384A">
        <w:rPr>
          <w:sz w:val="20"/>
          <w:szCs w:val="20"/>
        </w:rPr>
        <w:t>normalizacja amplitudy sygnału w całych danych poprzez zastosowanie funkcji wzmocnienia na dla wszystkich tras.</w:t>
      </w:r>
    </w:p>
    <w:p w14:paraId="0840E2D6" w14:textId="77777777" w:rsidR="00AE384A" w:rsidRPr="00AE384A" w:rsidRDefault="00AE384A" w:rsidP="00AE384A">
      <w:pPr>
        <w:pStyle w:val="Akapitzlist"/>
        <w:ind w:left="360"/>
        <w:jc w:val="both"/>
        <w:rPr>
          <w:sz w:val="20"/>
          <w:szCs w:val="20"/>
        </w:rPr>
      </w:pPr>
    </w:p>
    <w:p w14:paraId="0CDD57AE" w14:textId="77777777" w:rsidR="00AE384A" w:rsidRPr="00AE384A" w:rsidRDefault="00AE384A" w:rsidP="00AE384A">
      <w:pPr>
        <w:pStyle w:val="Akapitzlist"/>
        <w:ind w:left="360"/>
        <w:jc w:val="both"/>
        <w:rPr>
          <w:sz w:val="20"/>
          <w:szCs w:val="20"/>
        </w:rPr>
      </w:pPr>
      <w:r w:rsidRPr="00AE384A">
        <w:rPr>
          <w:sz w:val="20"/>
          <w:szCs w:val="20"/>
        </w:rPr>
        <w:t xml:space="preserve">Filtry te są niezwykle istotne w </w:t>
      </w:r>
      <w:proofErr w:type="spellStart"/>
      <w:r w:rsidRPr="00AE384A">
        <w:rPr>
          <w:sz w:val="20"/>
          <w:szCs w:val="20"/>
        </w:rPr>
        <w:t>georadarowym</w:t>
      </w:r>
      <w:proofErr w:type="spellEnd"/>
      <w:r w:rsidRPr="00AE384A">
        <w:rPr>
          <w:sz w:val="20"/>
          <w:szCs w:val="20"/>
        </w:rPr>
        <w:t xml:space="preserve"> przetwarzaniu sygnału, ponieważ umożliwiają one skuteczne usunięcie zakłóceń i poprawienie jakości uzyskanych wyników.</w:t>
      </w:r>
    </w:p>
    <w:p w14:paraId="0424D639" w14:textId="77777777" w:rsidR="00840794" w:rsidRPr="00505A57" w:rsidRDefault="00840794" w:rsidP="00D264C3">
      <w:pPr>
        <w:ind w:left="360"/>
        <w:rPr>
          <w:b/>
          <w:bCs/>
          <w:sz w:val="20"/>
          <w:szCs w:val="20"/>
        </w:rPr>
      </w:pPr>
    </w:p>
    <w:p w14:paraId="49CAAD34" w14:textId="1F5199F2" w:rsidR="00840794" w:rsidRPr="00090172" w:rsidRDefault="00840794" w:rsidP="00840794">
      <w:pPr>
        <w:pStyle w:val="Akapitzlist"/>
        <w:numPr>
          <w:ilvl w:val="0"/>
          <w:numId w:val="1"/>
        </w:numPr>
        <w:rPr>
          <w:b/>
          <w:bCs/>
          <w:sz w:val="20"/>
          <w:szCs w:val="20"/>
        </w:rPr>
      </w:pPr>
      <w:r w:rsidRPr="007B4278">
        <w:rPr>
          <w:b/>
          <w:bCs/>
        </w:rPr>
        <w:t>Przedstawienie</w:t>
      </w:r>
      <w:r w:rsidRPr="00505A57">
        <w:rPr>
          <w:b/>
          <w:bCs/>
          <w:sz w:val="20"/>
          <w:szCs w:val="20"/>
        </w:rPr>
        <w:t xml:space="preserve"> </w:t>
      </w:r>
      <w:r w:rsidRPr="007B4278">
        <w:rPr>
          <w:b/>
          <w:bCs/>
        </w:rPr>
        <w:t>wyników</w:t>
      </w:r>
    </w:p>
    <w:p w14:paraId="17A5D47F" w14:textId="2F48B118" w:rsidR="00727208" w:rsidRPr="00727208" w:rsidRDefault="00727208" w:rsidP="00727208">
      <w:pPr>
        <w:ind w:left="360"/>
        <w:jc w:val="both"/>
        <w:rPr>
          <w:sz w:val="20"/>
          <w:szCs w:val="20"/>
        </w:rPr>
      </w:pPr>
      <w:r w:rsidRPr="00727208">
        <w:rPr>
          <w:sz w:val="20"/>
          <w:szCs w:val="20"/>
        </w:rPr>
        <w:t xml:space="preserve">W niniejszym rozdziale przedstawiono wyniki pomiarów geofizycznych uzyskane w trakcie badań na </w:t>
      </w:r>
      <w:r w:rsidR="00850D28">
        <w:rPr>
          <w:sz w:val="20"/>
          <w:szCs w:val="20"/>
        </w:rPr>
        <w:t>wspomnianych trzech</w:t>
      </w:r>
      <w:r w:rsidRPr="00727208">
        <w:rPr>
          <w:sz w:val="20"/>
          <w:szCs w:val="20"/>
        </w:rPr>
        <w:t xml:space="preserve"> </w:t>
      </w:r>
      <w:r w:rsidR="00850D28">
        <w:rPr>
          <w:sz w:val="20"/>
          <w:szCs w:val="20"/>
        </w:rPr>
        <w:t>p</w:t>
      </w:r>
      <w:r w:rsidRPr="00727208">
        <w:rPr>
          <w:sz w:val="20"/>
          <w:szCs w:val="20"/>
        </w:rPr>
        <w:t>oligonach badawczych. Każdy z obszarów analizowany jest oddzielnie, zgodnie z ustaloną kolejnością. Prezentację wyników otwiera</w:t>
      </w:r>
      <w:r w:rsidR="00850D28">
        <w:rPr>
          <w:sz w:val="20"/>
          <w:szCs w:val="20"/>
        </w:rPr>
        <w:t xml:space="preserve"> zestawienie profili </w:t>
      </w:r>
      <w:proofErr w:type="spellStart"/>
      <w:r w:rsidR="00850D28">
        <w:rPr>
          <w:sz w:val="20"/>
          <w:szCs w:val="20"/>
        </w:rPr>
        <w:t>georadarowej</w:t>
      </w:r>
      <w:proofErr w:type="spellEnd"/>
      <w:r w:rsidR="00850D28">
        <w:rPr>
          <w:sz w:val="20"/>
          <w:szCs w:val="20"/>
        </w:rPr>
        <w:t xml:space="preserve">, które są głównym przedmiotem interpretacji, a następnie </w:t>
      </w:r>
      <w:r w:rsidRPr="00727208">
        <w:rPr>
          <w:sz w:val="20"/>
          <w:szCs w:val="20"/>
        </w:rPr>
        <w:t xml:space="preserve"> mapy </w:t>
      </w:r>
      <w:r w:rsidR="00850D28">
        <w:rPr>
          <w:sz w:val="20"/>
          <w:szCs w:val="20"/>
        </w:rPr>
        <w:t xml:space="preserve">rozkładu anomalii </w:t>
      </w:r>
      <w:r w:rsidRPr="00727208">
        <w:rPr>
          <w:sz w:val="20"/>
          <w:szCs w:val="20"/>
        </w:rPr>
        <w:t>uzyskane w</w:t>
      </w:r>
      <w:r w:rsidR="00850D28">
        <w:rPr>
          <w:sz w:val="20"/>
          <w:szCs w:val="20"/>
        </w:rPr>
        <w:t xml:space="preserve"> wyniku interpolacji pomiędzy profilami na danych głębokościach.</w:t>
      </w:r>
      <w:r w:rsidRPr="00727208">
        <w:rPr>
          <w:sz w:val="20"/>
          <w:szCs w:val="20"/>
        </w:rPr>
        <w:t xml:space="preserve"> </w:t>
      </w:r>
    </w:p>
    <w:p w14:paraId="21996703" w14:textId="11D4B202" w:rsidR="001601E7" w:rsidRDefault="001601E7" w:rsidP="00090172">
      <w:pPr>
        <w:pStyle w:val="Akapitzlist"/>
        <w:numPr>
          <w:ilvl w:val="1"/>
          <w:numId w:val="1"/>
        </w:numPr>
        <w:rPr>
          <w:b/>
          <w:bCs/>
          <w:sz w:val="20"/>
          <w:szCs w:val="20"/>
        </w:rPr>
      </w:pPr>
      <w:r>
        <w:rPr>
          <w:b/>
          <w:bCs/>
          <w:sz w:val="20"/>
          <w:szCs w:val="20"/>
        </w:rPr>
        <w:t>Obszar 2</w:t>
      </w:r>
    </w:p>
    <w:p w14:paraId="11B826D3" w14:textId="23C349BF" w:rsidR="00850D28" w:rsidRDefault="001B1E04" w:rsidP="00850D28">
      <w:pPr>
        <w:ind w:left="360"/>
        <w:jc w:val="both"/>
        <w:rPr>
          <w:sz w:val="20"/>
          <w:szCs w:val="20"/>
        </w:rPr>
      </w:pPr>
      <w:r w:rsidRPr="001B1E04">
        <w:rPr>
          <w:sz w:val="20"/>
          <w:szCs w:val="20"/>
        </w:rPr>
        <w:t xml:space="preserve">Na rysunkach Fig. 1.1, Fig. 1.2 oraz Fig. 1.3 przedstawiono przetworzone echogramy </w:t>
      </w:r>
      <w:proofErr w:type="spellStart"/>
      <w:r w:rsidRPr="001B1E04">
        <w:rPr>
          <w:sz w:val="20"/>
          <w:szCs w:val="20"/>
        </w:rPr>
        <w:t>georadarowe</w:t>
      </w:r>
      <w:proofErr w:type="spellEnd"/>
      <w:r w:rsidRPr="001B1E04">
        <w:rPr>
          <w:sz w:val="20"/>
          <w:szCs w:val="20"/>
        </w:rPr>
        <w:t xml:space="preserve"> odpowiadające kolejnym profilom z obszaru 2. Profile te zostały wykonane równolegle i prowadzone były w jednym kierunku – z południa na północ. Charakterystyczną cechą wszystkich zaprezentowanych echogramów jest zróżnicowanie parametrów geoelektrycznych ośrodka wzdłuż poszczególnych profili. Szczególnie widoczne jest silniejsze tłumienie sygnału w ich centralnych partiach, zwłaszcza pomiędzy 2. a 5. metrem bieżącym. Zjawisko to wykazuje pewną korelację </w:t>
      </w:r>
      <w:r>
        <w:rPr>
          <w:sz w:val="20"/>
          <w:szCs w:val="20"/>
        </w:rPr>
        <w:br/>
      </w:r>
      <w:r w:rsidRPr="001B1E04">
        <w:rPr>
          <w:sz w:val="20"/>
          <w:szCs w:val="20"/>
        </w:rPr>
        <w:t>z wynikami badań konduktometrycznych, w których centralna i północna część obszaru charakteryzowała się niższą opornością w porównaniu do części południowej.</w:t>
      </w:r>
      <w:r>
        <w:rPr>
          <w:sz w:val="20"/>
          <w:szCs w:val="20"/>
        </w:rPr>
        <w:t xml:space="preserve"> </w:t>
      </w:r>
    </w:p>
    <w:p w14:paraId="5633CCD3" w14:textId="75F474F4" w:rsidR="001B1E04" w:rsidRPr="00B629CE" w:rsidRDefault="00B629CE" w:rsidP="001B1E04">
      <w:pPr>
        <w:ind w:left="360"/>
        <w:jc w:val="both"/>
        <w:rPr>
          <w:sz w:val="20"/>
          <w:szCs w:val="20"/>
        </w:rPr>
      </w:pPr>
      <w:r w:rsidRPr="00B629CE">
        <w:rPr>
          <w:sz w:val="20"/>
          <w:szCs w:val="20"/>
        </w:rPr>
        <w:lastRenderedPageBreak/>
        <w:t xml:space="preserve">Na wszystkich jedenastu profilach kolorem niebieskim oznaczono hiperbole dyfrakcyjne, które występują dość licznie, jednak dominują głównie w płytkich warstwach i mają charakter krótki oraz lokalny. Na sąsiadujących ze sobą profilach obserwuje się występowanie hiperbol w zbliżonych lokalizacjach, co może wskazywać na ciągłość struktur w poprzek profili. Należy jednak uwzględnić, </w:t>
      </w:r>
      <w:r w:rsidR="00B54D75">
        <w:rPr>
          <w:sz w:val="20"/>
          <w:szCs w:val="20"/>
        </w:rPr>
        <w:br/>
      </w:r>
      <w:r w:rsidRPr="00B629CE">
        <w:rPr>
          <w:sz w:val="20"/>
          <w:szCs w:val="20"/>
        </w:rPr>
        <w:t xml:space="preserve">że odległość wzdłuż profilu określana jest za pomocą </w:t>
      </w:r>
      <w:proofErr w:type="spellStart"/>
      <w:r w:rsidRPr="00B629CE">
        <w:rPr>
          <w:sz w:val="20"/>
          <w:szCs w:val="20"/>
        </w:rPr>
        <w:t>odometru</w:t>
      </w:r>
      <w:proofErr w:type="spellEnd"/>
      <w:r w:rsidRPr="00B629CE">
        <w:rPr>
          <w:sz w:val="20"/>
          <w:szCs w:val="20"/>
        </w:rPr>
        <w:t xml:space="preserve"> (koła przymocowanego do anteny), który obarczony jest pewnym błędem pomiarowym. Głębokość natomiast szacowana jest na podstawie estymowanej średniej prędkości propagacji fali w ośrodku, co może prowadzić do niewielkich odchyleń w jej wartości. Szczególnie charakterystyczne jest grupowe występowanie hiperbol dyfrakcyjnych na ograniczonym obszarze, co może świadczyć o gwałtownych zmianach właściwości fizycznych medium w niewielkiej skali przestrzennej.</w:t>
      </w:r>
    </w:p>
    <w:p w14:paraId="32C5A65E" w14:textId="500E2D73" w:rsidR="00850D28" w:rsidRDefault="00850D28" w:rsidP="00850D28">
      <w:pPr>
        <w:pStyle w:val="Akapitzlist"/>
        <w:ind w:left="426"/>
        <w:jc w:val="both"/>
        <w:rPr>
          <w:sz w:val="20"/>
          <w:szCs w:val="20"/>
        </w:rPr>
      </w:pPr>
      <w:r>
        <w:rPr>
          <w:noProof/>
          <w:sz w:val="20"/>
          <w:szCs w:val="20"/>
        </w:rPr>
        <w:drawing>
          <wp:inline distT="0" distB="0" distL="0" distR="0" wp14:anchorId="4AF27BE1" wp14:editId="554E4CF1">
            <wp:extent cx="5456039" cy="6629400"/>
            <wp:effectExtent l="0" t="0" r="0" b="0"/>
            <wp:docPr id="1497250341" name="Obraz 4" descr="Obraz zawierający tekst, zrzut ekranu&#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250341" name="Obraz 4" descr="Obraz zawierający tekst, zrzut ekranu&#10;&#10;Zawartość wygenerowana przez sztuczną inteligencję może być niepoprawna."/>
                    <pic:cNvPicPr/>
                  </pic:nvPicPr>
                  <pic:blipFill>
                    <a:blip r:embed="rId7" cstate="print">
                      <a:extLst>
                        <a:ext uri="{28A0092B-C50C-407E-A947-70E740481C1C}">
                          <a14:useLocalDpi xmlns:a14="http://schemas.microsoft.com/office/drawing/2010/main" val="0"/>
                        </a:ext>
                      </a:extLst>
                    </a:blip>
                    <a:stretch>
                      <a:fillRect/>
                    </a:stretch>
                  </pic:blipFill>
                  <pic:spPr>
                    <a:xfrm>
                      <a:off x="0" y="0"/>
                      <a:ext cx="5460620" cy="6634966"/>
                    </a:xfrm>
                    <a:prstGeom prst="rect">
                      <a:avLst/>
                    </a:prstGeom>
                  </pic:spPr>
                </pic:pic>
              </a:graphicData>
            </a:graphic>
          </wp:inline>
        </w:drawing>
      </w:r>
    </w:p>
    <w:p w14:paraId="638C2004" w14:textId="20AAB394" w:rsidR="00850D28" w:rsidRDefault="00850D28" w:rsidP="00850D28">
      <w:pPr>
        <w:ind w:left="426"/>
        <w:jc w:val="both"/>
        <w:rPr>
          <w:i/>
          <w:iCs/>
          <w:sz w:val="18"/>
          <w:szCs w:val="18"/>
        </w:rPr>
      </w:pPr>
      <w:r w:rsidRPr="001601E7">
        <w:rPr>
          <w:i/>
          <w:iCs/>
          <w:sz w:val="18"/>
          <w:szCs w:val="18"/>
        </w:rPr>
        <w:t>Fig.</w:t>
      </w:r>
      <w:r>
        <w:rPr>
          <w:i/>
          <w:iCs/>
          <w:sz w:val="18"/>
          <w:szCs w:val="18"/>
        </w:rPr>
        <w:t>1</w:t>
      </w:r>
      <w:r w:rsidRPr="001601E7">
        <w:rPr>
          <w:i/>
          <w:iCs/>
          <w:sz w:val="18"/>
          <w:szCs w:val="18"/>
        </w:rPr>
        <w:t>.1.</w:t>
      </w:r>
      <w:r>
        <w:rPr>
          <w:i/>
          <w:iCs/>
          <w:sz w:val="18"/>
          <w:szCs w:val="18"/>
        </w:rPr>
        <w:t xml:space="preserve"> </w:t>
      </w:r>
      <w:r>
        <w:rPr>
          <w:i/>
          <w:iCs/>
          <w:sz w:val="18"/>
          <w:szCs w:val="18"/>
        </w:rPr>
        <w:t xml:space="preserve">Zestawienie przetworzonych echogramów </w:t>
      </w:r>
      <w:proofErr w:type="spellStart"/>
      <w:r>
        <w:rPr>
          <w:i/>
          <w:iCs/>
          <w:sz w:val="18"/>
          <w:szCs w:val="18"/>
        </w:rPr>
        <w:t>georadarowych</w:t>
      </w:r>
      <w:proofErr w:type="spellEnd"/>
      <w:r>
        <w:rPr>
          <w:i/>
          <w:iCs/>
          <w:sz w:val="18"/>
          <w:szCs w:val="18"/>
        </w:rPr>
        <w:t xml:space="preserve"> </w:t>
      </w:r>
      <w:r w:rsidR="00E63373">
        <w:rPr>
          <w:i/>
          <w:iCs/>
          <w:sz w:val="18"/>
          <w:szCs w:val="18"/>
        </w:rPr>
        <w:t>dla profili od 1 do 4 wykonanych na obszarze 2.</w:t>
      </w:r>
    </w:p>
    <w:p w14:paraId="2FC1ADB7" w14:textId="7F2DDDE2" w:rsidR="00712FF7" w:rsidRDefault="00712FF7" w:rsidP="00850D28">
      <w:pPr>
        <w:ind w:left="426"/>
        <w:jc w:val="both"/>
        <w:rPr>
          <w:i/>
          <w:iCs/>
          <w:sz w:val="18"/>
          <w:szCs w:val="18"/>
        </w:rPr>
      </w:pPr>
      <w:r>
        <w:rPr>
          <w:i/>
          <w:iCs/>
          <w:noProof/>
          <w:sz w:val="18"/>
          <w:szCs w:val="18"/>
        </w:rPr>
        <w:lastRenderedPageBreak/>
        <w:drawing>
          <wp:inline distT="0" distB="0" distL="0" distR="0" wp14:anchorId="1DA62AD4" wp14:editId="5906D0E0">
            <wp:extent cx="5457825" cy="6631570"/>
            <wp:effectExtent l="0" t="0" r="0" b="0"/>
            <wp:docPr id="1781385421" name="Obraz 5" descr="Obraz zawierający tekst, zrzut ekranu&#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385421" name="Obraz 5" descr="Obraz zawierający tekst, zrzut ekranu&#10;&#10;Zawartość wygenerowana przez sztuczną inteligencję może być niepoprawna."/>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63127" cy="6638012"/>
                    </a:xfrm>
                    <a:prstGeom prst="rect">
                      <a:avLst/>
                    </a:prstGeom>
                  </pic:spPr>
                </pic:pic>
              </a:graphicData>
            </a:graphic>
          </wp:inline>
        </w:drawing>
      </w:r>
    </w:p>
    <w:p w14:paraId="3C05BB28" w14:textId="33F1D455" w:rsidR="00850D28" w:rsidRDefault="00850D28" w:rsidP="00850D28">
      <w:pPr>
        <w:ind w:left="426"/>
        <w:jc w:val="both"/>
        <w:rPr>
          <w:i/>
          <w:iCs/>
          <w:sz w:val="18"/>
          <w:szCs w:val="18"/>
        </w:rPr>
      </w:pPr>
      <w:r w:rsidRPr="001601E7">
        <w:rPr>
          <w:i/>
          <w:iCs/>
          <w:sz w:val="18"/>
          <w:szCs w:val="18"/>
        </w:rPr>
        <w:t>Fig.</w:t>
      </w:r>
      <w:r>
        <w:rPr>
          <w:i/>
          <w:iCs/>
          <w:sz w:val="18"/>
          <w:szCs w:val="18"/>
        </w:rPr>
        <w:t>1</w:t>
      </w:r>
      <w:r w:rsidRPr="001601E7">
        <w:rPr>
          <w:i/>
          <w:iCs/>
          <w:sz w:val="18"/>
          <w:szCs w:val="18"/>
        </w:rPr>
        <w:t>.</w:t>
      </w:r>
      <w:r>
        <w:rPr>
          <w:i/>
          <w:iCs/>
          <w:sz w:val="18"/>
          <w:szCs w:val="18"/>
        </w:rPr>
        <w:t>2</w:t>
      </w:r>
      <w:r w:rsidRPr="001601E7">
        <w:rPr>
          <w:i/>
          <w:iCs/>
          <w:sz w:val="18"/>
          <w:szCs w:val="18"/>
        </w:rPr>
        <w:t>.</w:t>
      </w:r>
      <w:r>
        <w:rPr>
          <w:i/>
          <w:iCs/>
          <w:sz w:val="18"/>
          <w:szCs w:val="18"/>
        </w:rPr>
        <w:t xml:space="preserve"> </w:t>
      </w:r>
      <w:r w:rsidR="00E63373">
        <w:rPr>
          <w:i/>
          <w:iCs/>
          <w:sz w:val="18"/>
          <w:szCs w:val="18"/>
        </w:rPr>
        <w:t xml:space="preserve">Zestawienie przetworzonych echogramów </w:t>
      </w:r>
      <w:proofErr w:type="spellStart"/>
      <w:r w:rsidR="00E63373">
        <w:rPr>
          <w:i/>
          <w:iCs/>
          <w:sz w:val="18"/>
          <w:szCs w:val="18"/>
        </w:rPr>
        <w:t>georadarowych</w:t>
      </w:r>
      <w:proofErr w:type="spellEnd"/>
      <w:r w:rsidR="00E63373">
        <w:rPr>
          <w:i/>
          <w:iCs/>
          <w:sz w:val="18"/>
          <w:szCs w:val="18"/>
        </w:rPr>
        <w:t xml:space="preserve"> dla profili od </w:t>
      </w:r>
      <w:r w:rsidR="00E63373">
        <w:rPr>
          <w:i/>
          <w:iCs/>
          <w:sz w:val="18"/>
          <w:szCs w:val="18"/>
        </w:rPr>
        <w:t>5</w:t>
      </w:r>
      <w:r w:rsidR="00E63373">
        <w:rPr>
          <w:i/>
          <w:iCs/>
          <w:sz w:val="18"/>
          <w:szCs w:val="18"/>
        </w:rPr>
        <w:t xml:space="preserve"> do </w:t>
      </w:r>
      <w:r w:rsidR="00E63373">
        <w:rPr>
          <w:i/>
          <w:iCs/>
          <w:sz w:val="18"/>
          <w:szCs w:val="18"/>
        </w:rPr>
        <w:t>8</w:t>
      </w:r>
      <w:r w:rsidR="00E63373">
        <w:rPr>
          <w:i/>
          <w:iCs/>
          <w:sz w:val="18"/>
          <w:szCs w:val="18"/>
        </w:rPr>
        <w:t xml:space="preserve"> wykonanych na obszarze 2.</w:t>
      </w:r>
    </w:p>
    <w:p w14:paraId="5CC96DEF" w14:textId="77777777" w:rsidR="00EA45EB" w:rsidRDefault="00EA45EB" w:rsidP="00850D28">
      <w:pPr>
        <w:ind w:left="426"/>
        <w:jc w:val="both"/>
        <w:rPr>
          <w:sz w:val="20"/>
          <w:szCs w:val="20"/>
        </w:rPr>
      </w:pPr>
      <w:r w:rsidRPr="00EA45EB">
        <w:rPr>
          <w:sz w:val="20"/>
          <w:szCs w:val="20"/>
        </w:rPr>
        <w:t>W przypadku pierwszych czterech profili dyfrakcyjne hiperbole występują niemal na całej ich długości, co może wskazywać na rozproszone i niejednorodne warunki geologiczne lub obecność licznych niewielkich obiektów o kontrastujących właściwościach fizycznych względem otoczenia. W miarę przesuwania się profili na wschód obserwuje się wyraźną zmianę – hiperbole zaczynają koncentrować się głównie w północnych częściach profili. Taka dystrybucja może sugerować obecność podziemnej struktury o ograniczonym zasięgu lateralnym, zlokalizowanej w centralnej części badanego obszaru. Jej górna granica (strop) znajduje się na głębokości około 50 cm poniżej powierzchni terenu. Regularność występowania anomalii w zbliżonych lokalizacjach na sąsiednich profilach może świadczyć o ciągłości tej struktury w kierunku wschód–zachód oraz o jej potencjalnym znaczeniu archeologicznym</w:t>
      </w:r>
      <w:r>
        <w:rPr>
          <w:sz w:val="20"/>
          <w:szCs w:val="20"/>
        </w:rPr>
        <w:t>.</w:t>
      </w:r>
    </w:p>
    <w:p w14:paraId="2378013D" w14:textId="156B9F42" w:rsidR="00712FF7" w:rsidRDefault="00712FF7" w:rsidP="00850D28">
      <w:pPr>
        <w:ind w:left="426"/>
        <w:jc w:val="both"/>
        <w:rPr>
          <w:i/>
          <w:iCs/>
          <w:sz w:val="18"/>
          <w:szCs w:val="18"/>
        </w:rPr>
      </w:pPr>
      <w:r>
        <w:rPr>
          <w:i/>
          <w:iCs/>
          <w:noProof/>
          <w:sz w:val="18"/>
          <w:szCs w:val="18"/>
        </w:rPr>
        <w:lastRenderedPageBreak/>
        <w:drawing>
          <wp:inline distT="0" distB="0" distL="0" distR="0" wp14:anchorId="5F6D208C" wp14:editId="2CCD3F6C">
            <wp:extent cx="5483860" cy="4981536"/>
            <wp:effectExtent l="0" t="0" r="2540" b="0"/>
            <wp:docPr id="1266897666" name="Obraz 6" descr="Obraz zawierający tekst, zrzut ekranu&#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897666" name="Obraz 6" descr="Obraz zawierający tekst, zrzut ekranu&#10;&#10;Zawartość wygenerowana przez sztuczną inteligencję może być niepoprawna."/>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95590" cy="4992191"/>
                    </a:xfrm>
                    <a:prstGeom prst="rect">
                      <a:avLst/>
                    </a:prstGeom>
                  </pic:spPr>
                </pic:pic>
              </a:graphicData>
            </a:graphic>
          </wp:inline>
        </w:drawing>
      </w:r>
    </w:p>
    <w:p w14:paraId="23A9CC8E" w14:textId="07542E29" w:rsidR="00FD4DE0" w:rsidRDefault="00850D28" w:rsidP="00FD4DE0">
      <w:pPr>
        <w:ind w:left="426"/>
        <w:jc w:val="both"/>
        <w:rPr>
          <w:i/>
          <w:iCs/>
          <w:sz w:val="18"/>
          <w:szCs w:val="18"/>
        </w:rPr>
      </w:pPr>
      <w:r w:rsidRPr="001601E7">
        <w:rPr>
          <w:i/>
          <w:iCs/>
          <w:sz w:val="18"/>
          <w:szCs w:val="18"/>
        </w:rPr>
        <w:t>Fig.</w:t>
      </w:r>
      <w:r>
        <w:rPr>
          <w:i/>
          <w:iCs/>
          <w:sz w:val="18"/>
          <w:szCs w:val="18"/>
        </w:rPr>
        <w:t>1</w:t>
      </w:r>
      <w:r w:rsidRPr="001601E7">
        <w:rPr>
          <w:i/>
          <w:iCs/>
          <w:sz w:val="18"/>
          <w:szCs w:val="18"/>
        </w:rPr>
        <w:t>.</w:t>
      </w:r>
      <w:r>
        <w:rPr>
          <w:i/>
          <w:iCs/>
          <w:sz w:val="18"/>
          <w:szCs w:val="18"/>
        </w:rPr>
        <w:t>3</w:t>
      </w:r>
      <w:r w:rsidRPr="001601E7">
        <w:rPr>
          <w:i/>
          <w:iCs/>
          <w:sz w:val="18"/>
          <w:szCs w:val="18"/>
        </w:rPr>
        <w:t>.</w:t>
      </w:r>
      <w:r>
        <w:rPr>
          <w:i/>
          <w:iCs/>
          <w:sz w:val="18"/>
          <w:szCs w:val="18"/>
        </w:rPr>
        <w:t xml:space="preserve"> </w:t>
      </w:r>
      <w:r w:rsidR="00E63373">
        <w:rPr>
          <w:i/>
          <w:iCs/>
          <w:sz w:val="18"/>
          <w:szCs w:val="18"/>
        </w:rPr>
        <w:t xml:space="preserve">Zestawienie przetworzonych echogramów </w:t>
      </w:r>
      <w:proofErr w:type="spellStart"/>
      <w:r w:rsidR="00E63373">
        <w:rPr>
          <w:i/>
          <w:iCs/>
          <w:sz w:val="18"/>
          <w:szCs w:val="18"/>
        </w:rPr>
        <w:t>georadarowych</w:t>
      </w:r>
      <w:proofErr w:type="spellEnd"/>
      <w:r w:rsidR="00E63373">
        <w:rPr>
          <w:i/>
          <w:iCs/>
          <w:sz w:val="18"/>
          <w:szCs w:val="18"/>
        </w:rPr>
        <w:t xml:space="preserve"> dla profili od </w:t>
      </w:r>
      <w:r w:rsidR="00E63373">
        <w:rPr>
          <w:i/>
          <w:iCs/>
          <w:sz w:val="18"/>
          <w:szCs w:val="18"/>
        </w:rPr>
        <w:t xml:space="preserve">9 </w:t>
      </w:r>
      <w:r w:rsidR="00E63373">
        <w:rPr>
          <w:i/>
          <w:iCs/>
          <w:sz w:val="18"/>
          <w:szCs w:val="18"/>
        </w:rPr>
        <w:t xml:space="preserve"> do </w:t>
      </w:r>
      <w:r w:rsidR="00E63373">
        <w:rPr>
          <w:i/>
          <w:iCs/>
          <w:sz w:val="18"/>
          <w:szCs w:val="18"/>
        </w:rPr>
        <w:t>11</w:t>
      </w:r>
      <w:r w:rsidR="00E63373">
        <w:rPr>
          <w:i/>
          <w:iCs/>
          <w:sz w:val="18"/>
          <w:szCs w:val="18"/>
        </w:rPr>
        <w:t xml:space="preserve"> wykonanych na obszarze 2.</w:t>
      </w:r>
    </w:p>
    <w:p w14:paraId="0699E4AA" w14:textId="73EB9882" w:rsidR="00850D28" w:rsidRPr="00FD4DE0" w:rsidRDefault="00FD4DE0" w:rsidP="00FD4DE0">
      <w:pPr>
        <w:ind w:left="360"/>
        <w:jc w:val="both"/>
        <w:rPr>
          <w:sz w:val="20"/>
          <w:szCs w:val="20"/>
        </w:rPr>
      </w:pPr>
      <w:r w:rsidRPr="00FD4DE0">
        <w:rPr>
          <w:sz w:val="20"/>
          <w:szCs w:val="20"/>
        </w:rPr>
        <w:t xml:space="preserve">Na profilach od 6 do 9 zaobserwowano charakterystyczne ugięcie ciągłości warstw w rejonie pomiędzy 5,5 a 7 metrem bieżącym, szczególnie wyraźne w profilu oznaczonym jako 7. Struktura ta znajduje się na głębokości około 50–70 cm poniżej powierzchni terenu. Tego rodzaju deformacja może wskazywać na obecność obiektu o odmiennej charakterystyce fizycznej względem otaczającego ośrodka, </w:t>
      </w:r>
      <w:r>
        <w:rPr>
          <w:sz w:val="20"/>
          <w:szCs w:val="20"/>
        </w:rPr>
        <w:br/>
      </w:r>
      <w:r w:rsidRPr="00FD4DE0">
        <w:rPr>
          <w:sz w:val="20"/>
          <w:szCs w:val="20"/>
        </w:rPr>
        <w:t>co sugeruje potencjalne powiązanie z obiektem archeologicznym, np. zasypanym wykopem, lub inną formą ingerencji antropogenicznej. Regularność obserwowanego zaburzenia w kilku sąsiednich profilach może dodatkowo świadczyć o jego przestrzennej ciągłości.</w:t>
      </w:r>
    </w:p>
    <w:p w14:paraId="68A01ECC" w14:textId="77777777" w:rsidR="00850D28" w:rsidRDefault="00850D28" w:rsidP="00947822">
      <w:pPr>
        <w:pStyle w:val="Akapitzlist"/>
        <w:jc w:val="both"/>
        <w:rPr>
          <w:sz w:val="20"/>
          <w:szCs w:val="20"/>
        </w:rPr>
      </w:pPr>
    </w:p>
    <w:p w14:paraId="32E3D6CE" w14:textId="25893C98" w:rsidR="001601E7" w:rsidRDefault="001601E7" w:rsidP="00090172">
      <w:pPr>
        <w:pStyle w:val="Akapitzlist"/>
        <w:numPr>
          <w:ilvl w:val="1"/>
          <w:numId w:val="1"/>
        </w:numPr>
        <w:rPr>
          <w:b/>
          <w:bCs/>
          <w:sz w:val="20"/>
          <w:szCs w:val="20"/>
        </w:rPr>
      </w:pPr>
      <w:r>
        <w:rPr>
          <w:b/>
          <w:bCs/>
          <w:sz w:val="20"/>
          <w:szCs w:val="20"/>
        </w:rPr>
        <w:t>Obszar 3</w:t>
      </w:r>
    </w:p>
    <w:p w14:paraId="508D0D37" w14:textId="77777777" w:rsidR="009507AD" w:rsidRDefault="009507AD" w:rsidP="000B00D7">
      <w:pPr>
        <w:ind w:left="360"/>
        <w:jc w:val="both"/>
        <w:rPr>
          <w:sz w:val="20"/>
          <w:szCs w:val="20"/>
        </w:rPr>
      </w:pPr>
      <w:r w:rsidRPr="009507AD">
        <w:rPr>
          <w:sz w:val="20"/>
          <w:szCs w:val="20"/>
        </w:rPr>
        <w:t xml:space="preserve">Echogramy </w:t>
      </w:r>
      <w:proofErr w:type="spellStart"/>
      <w:r w:rsidRPr="009507AD">
        <w:rPr>
          <w:sz w:val="20"/>
          <w:szCs w:val="20"/>
        </w:rPr>
        <w:t>georadarowe</w:t>
      </w:r>
      <w:proofErr w:type="spellEnd"/>
      <w:r w:rsidRPr="009507AD">
        <w:rPr>
          <w:sz w:val="20"/>
          <w:szCs w:val="20"/>
        </w:rPr>
        <w:t xml:space="preserve"> dla poligonu 3, przedstawione na rysunku Fig. 2.1, obejmują wszystkie profile wykonane w tym obszarze. Zarejestrowano pięć równoległych profili o długości około 10 metrów, rozmieszczonych w odstępach co około 1 metr. Podobnie jak w przypadku wcześniej opisywanego obszaru 2, pomiary wykonano w kierunku południe–północ. Przy zastosowaniu tego samego schematu przetwarzania danych widoczna jest istotna różnica w stosunku do obszaru 2 – mianowicie, występuje tu znacznie mniej stref o silnym tłumieniu sygnału. Zjawisko to wyraźnie koreluje z wyższą opornością gruntu, co potwierdzają również wyniki uzyskane z pomiarów konduktometrycznych.</w:t>
      </w:r>
    </w:p>
    <w:p w14:paraId="49A89A21" w14:textId="33B56268" w:rsidR="00B54D75" w:rsidRPr="000B00D7" w:rsidRDefault="00B54D75" w:rsidP="000B00D7">
      <w:pPr>
        <w:ind w:left="360"/>
        <w:jc w:val="both"/>
        <w:rPr>
          <w:sz w:val="20"/>
          <w:szCs w:val="20"/>
        </w:rPr>
      </w:pPr>
      <w:r>
        <w:rPr>
          <w:noProof/>
          <w:sz w:val="20"/>
          <w:szCs w:val="20"/>
        </w:rPr>
        <w:lastRenderedPageBreak/>
        <w:drawing>
          <wp:inline distT="0" distB="0" distL="0" distR="0" wp14:anchorId="649CF01B" wp14:editId="5EF76DFA">
            <wp:extent cx="5506692" cy="7224663"/>
            <wp:effectExtent l="0" t="0" r="0" b="0"/>
            <wp:docPr id="738059072"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059072" name="Obraz 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506692" cy="7224663"/>
                    </a:xfrm>
                    <a:prstGeom prst="rect">
                      <a:avLst/>
                    </a:prstGeom>
                  </pic:spPr>
                </pic:pic>
              </a:graphicData>
            </a:graphic>
          </wp:inline>
        </w:drawing>
      </w:r>
    </w:p>
    <w:p w14:paraId="23ED1841" w14:textId="0FE905C9" w:rsidR="007F7DE3" w:rsidRDefault="007F7DE3" w:rsidP="00B54D75">
      <w:pPr>
        <w:ind w:left="360"/>
        <w:jc w:val="both"/>
        <w:rPr>
          <w:i/>
          <w:iCs/>
          <w:sz w:val="18"/>
          <w:szCs w:val="18"/>
        </w:rPr>
      </w:pPr>
      <w:r w:rsidRPr="001601E7">
        <w:rPr>
          <w:i/>
          <w:iCs/>
          <w:sz w:val="18"/>
          <w:szCs w:val="18"/>
        </w:rPr>
        <w:t>Fig.</w:t>
      </w:r>
      <w:r w:rsidR="00B54D75">
        <w:rPr>
          <w:i/>
          <w:iCs/>
          <w:sz w:val="18"/>
          <w:szCs w:val="18"/>
        </w:rPr>
        <w:t>2</w:t>
      </w:r>
      <w:r w:rsidRPr="001601E7">
        <w:rPr>
          <w:i/>
          <w:iCs/>
          <w:sz w:val="18"/>
          <w:szCs w:val="18"/>
        </w:rPr>
        <w:t>.1.</w:t>
      </w:r>
      <w:r>
        <w:rPr>
          <w:i/>
          <w:iCs/>
          <w:sz w:val="18"/>
          <w:szCs w:val="18"/>
        </w:rPr>
        <w:t xml:space="preserve"> </w:t>
      </w:r>
      <w:r w:rsidR="00B54D75">
        <w:rPr>
          <w:i/>
          <w:iCs/>
          <w:sz w:val="18"/>
          <w:szCs w:val="18"/>
        </w:rPr>
        <w:t xml:space="preserve">Zestawienie przetworzonych echogramów </w:t>
      </w:r>
      <w:proofErr w:type="spellStart"/>
      <w:r w:rsidR="00B54D75">
        <w:rPr>
          <w:i/>
          <w:iCs/>
          <w:sz w:val="18"/>
          <w:szCs w:val="18"/>
        </w:rPr>
        <w:t>georadarowych</w:t>
      </w:r>
      <w:proofErr w:type="spellEnd"/>
      <w:r w:rsidR="00B54D75">
        <w:rPr>
          <w:i/>
          <w:iCs/>
          <w:sz w:val="18"/>
          <w:szCs w:val="18"/>
        </w:rPr>
        <w:t xml:space="preserve"> dla profili od </w:t>
      </w:r>
      <w:r w:rsidR="00B54D75">
        <w:rPr>
          <w:i/>
          <w:iCs/>
          <w:sz w:val="18"/>
          <w:szCs w:val="18"/>
        </w:rPr>
        <w:t>1</w:t>
      </w:r>
      <w:r w:rsidR="00B54D75">
        <w:rPr>
          <w:i/>
          <w:iCs/>
          <w:sz w:val="18"/>
          <w:szCs w:val="18"/>
        </w:rPr>
        <w:t xml:space="preserve">  do </w:t>
      </w:r>
      <w:r w:rsidR="00B54D75">
        <w:rPr>
          <w:i/>
          <w:iCs/>
          <w:sz w:val="18"/>
          <w:szCs w:val="18"/>
        </w:rPr>
        <w:t>5</w:t>
      </w:r>
      <w:r w:rsidR="00B54D75">
        <w:rPr>
          <w:i/>
          <w:iCs/>
          <w:sz w:val="18"/>
          <w:szCs w:val="18"/>
        </w:rPr>
        <w:t xml:space="preserve"> wykonanych na obszarze </w:t>
      </w:r>
      <w:r w:rsidR="00B54D75">
        <w:rPr>
          <w:i/>
          <w:iCs/>
          <w:sz w:val="18"/>
          <w:szCs w:val="18"/>
        </w:rPr>
        <w:t>3</w:t>
      </w:r>
      <w:r w:rsidR="00B54D75">
        <w:rPr>
          <w:i/>
          <w:iCs/>
          <w:sz w:val="18"/>
          <w:szCs w:val="18"/>
        </w:rPr>
        <w:t>.</w:t>
      </w:r>
    </w:p>
    <w:p w14:paraId="22A492D1" w14:textId="28CD16FB" w:rsidR="007F7DE3" w:rsidRPr="001601E7" w:rsidRDefault="00FB67E2" w:rsidP="00FB67E2">
      <w:pPr>
        <w:ind w:left="360"/>
        <w:jc w:val="both"/>
        <w:rPr>
          <w:b/>
          <w:bCs/>
          <w:sz w:val="20"/>
          <w:szCs w:val="20"/>
        </w:rPr>
      </w:pPr>
      <w:bookmarkStart w:id="0" w:name="_Hlk193926681"/>
      <w:r w:rsidRPr="00FB67E2">
        <w:rPr>
          <w:sz w:val="20"/>
          <w:szCs w:val="20"/>
        </w:rPr>
        <w:t xml:space="preserve">Wyraźna jest również różnica w liczbie oraz wyrazistości hiperbol dyfrakcyjnych w porównaniu </w:t>
      </w:r>
      <w:r>
        <w:rPr>
          <w:sz w:val="20"/>
          <w:szCs w:val="20"/>
        </w:rPr>
        <w:br/>
      </w:r>
      <w:r w:rsidRPr="00FB67E2">
        <w:rPr>
          <w:sz w:val="20"/>
          <w:szCs w:val="20"/>
        </w:rPr>
        <w:t xml:space="preserve">z obszarem 2 – na poligonie 3 występują one znacznie rzadziej i są słabiej zarysowane. Na dwóch pierwszych profilach, zlokalizowanych najbardziej na zachód, widoczna jest anomalia przypominająca zapadającą się strukturę, będąca najprawdopodobniej efektem obecności metalowego ogrodzenia. </w:t>
      </w:r>
      <w:r>
        <w:rPr>
          <w:sz w:val="20"/>
          <w:szCs w:val="20"/>
        </w:rPr>
        <w:br/>
      </w:r>
      <w:r w:rsidRPr="00FB67E2">
        <w:rPr>
          <w:sz w:val="20"/>
          <w:szCs w:val="20"/>
        </w:rPr>
        <w:t xml:space="preserve">W tym przypadku należy ją traktować jako artefakt pomiarowy, niezwiązany z właściwościami podłoża. Poza pojedynczymi, lokalnie występującymi hiperbolami dyfrakcyjnymi, uwagę zwracają także </w:t>
      </w:r>
      <w:r w:rsidRPr="00FB67E2">
        <w:rPr>
          <w:sz w:val="20"/>
          <w:szCs w:val="20"/>
        </w:rPr>
        <w:lastRenderedPageBreak/>
        <w:t>wyraźne ugięcia warstw – podobne do tych obserwowanych w obszarze 2. Zjawisko to jest szczególnie widoczne na profilach 3, 4 i 5, w rejonie pomiędzy 2. a 4,5 metrem bieżącym.</w:t>
      </w:r>
    </w:p>
    <w:bookmarkEnd w:id="0"/>
    <w:p w14:paraId="4AF917E7" w14:textId="5DF79412" w:rsidR="001601E7" w:rsidRDefault="001601E7" w:rsidP="00090172">
      <w:pPr>
        <w:pStyle w:val="Akapitzlist"/>
        <w:numPr>
          <w:ilvl w:val="1"/>
          <w:numId w:val="1"/>
        </w:numPr>
        <w:rPr>
          <w:b/>
          <w:bCs/>
          <w:sz w:val="20"/>
          <w:szCs w:val="20"/>
        </w:rPr>
      </w:pPr>
      <w:r>
        <w:rPr>
          <w:b/>
          <w:bCs/>
          <w:sz w:val="20"/>
          <w:szCs w:val="20"/>
        </w:rPr>
        <w:t>Obszar 4</w:t>
      </w:r>
    </w:p>
    <w:p w14:paraId="751F14F2" w14:textId="77777777" w:rsidR="000F6BD3" w:rsidRPr="000F6BD3" w:rsidRDefault="000F6BD3" w:rsidP="000F6BD3">
      <w:pPr>
        <w:ind w:left="360"/>
        <w:jc w:val="both"/>
        <w:rPr>
          <w:sz w:val="20"/>
          <w:szCs w:val="20"/>
        </w:rPr>
      </w:pPr>
      <w:r w:rsidRPr="000F6BD3">
        <w:rPr>
          <w:sz w:val="20"/>
          <w:szCs w:val="20"/>
        </w:rPr>
        <w:t xml:space="preserve">Echogramy </w:t>
      </w:r>
      <w:proofErr w:type="spellStart"/>
      <w:r w:rsidRPr="000F6BD3">
        <w:rPr>
          <w:sz w:val="20"/>
          <w:szCs w:val="20"/>
        </w:rPr>
        <w:t>georadarowe</w:t>
      </w:r>
      <w:proofErr w:type="spellEnd"/>
      <w:r w:rsidRPr="000F6BD3">
        <w:rPr>
          <w:sz w:val="20"/>
          <w:szCs w:val="20"/>
        </w:rPr>
        <w:t xml:space="preserve"> dla poligonu 4, przedstawione na rysunku Fig. 3.1, obejmują komplet profili wykonanych w tym obszarze badawczym. Poligon ten zlokalizowany jest w obrębie wąwozu lessowego, co stanowi istotny czynnik wpływający na propagację fal elektromagnetycznych oraz jakość rejestrowanych danych. W szczególności zauważalne są wyraźne, lokalne spadki amplitudy sygnału, związane z intensywnym tłumieniem fal w obrębie bardziej wilgotnych lub silnie rozproszonych osadów lessowych.</w:t>
      </w:r>
    </w:p>
    <w:p w14:paraId="1CB015E0" w14:textId="795E532C" w:rsidR="000F6BD3" w:rsidRPr="000F6BD3" w:rsidRDefault="000F6BD3" w:rsidP="000F6BD3">
      <w:pPr>
        <w:ind w:left="360"/>
        <w:jc w:val="both"/>
        <w:rPr>
          <w:sz w:val="20"/>
          <w:szCs w:val="20"/>
        </w:rPr>
      </w:pPr>
      <w:r w:rsidRPr="000F6BD3">
        <w:rPr>
          <w:sz w:val="20"/>
          <w:szCs w:val="20"/>
        </w:rPr>
        <w:t xml:space="preserve">Ze względu na uwarunkowania topograficzne – strome zbocza wąwozu oraz potencjalne zaburzenia wynikające z nierównego kontaktu anteny z podłożem – zdecydowano się na przeprowadzenie pomiarów wyłącznie na dnie wąwozu. Teren ten zapewniał względnie stabilne warunki pomiarowe </w:t>
      </w:r>
      <w:r>
        <w:rPr>
          <w:sz w:val="20"/>
          <w:szCs w:val="20"/>
        </w:rPr>
        <w:br/>
      </w:r>
      <w:r w:rsidRPr="000F6BD3">
        <w:rPr>
          <w:sz w:val="20"/>
          <w:szCs w:val="20"/>
        </w:rPr>
        <w:t>i umożliwiał zachowanie porównywalnej geometrii do tej zastosowanej w pozostałych obszarach. Wykonano pięć równoległych profili, każdy o długości około 10 metrów, w odstępach co 1 metr, prowa</w:t>
      </w:r>
      <w:r>
        <w:rPr>
          <w:sz w:val="20"/>
          <w:szCs w:val="20"/>
        </w:rPr>
        <w:t>d</w:t>
      </w:r>
      <w:r w:rsidRPr="000F6BD3">
        <w:rPr>
          <w:sz w:val="20"/>
          <w:szCs w:val="20"/>
        </w:rPr>
        <w:t>zonych w kierunku południe–północ.</w:t>
      </w:r>
    </w:p>
    <w:p w14:paraId="4A020E52" w14:textId="32A9B167" w:rsidR="0023481C" w:rsidRDefault="000F6BD3" w:rsidP="000F6BD3">
      <w:pPr>
        <w:ind w:left="360"/>
        <w:jc w:val="both"/>
        <w:rPr>
          <w:sz w:val="20"/>
          <w:szCs w:val="20"/>
        </w:rPr>
      </w:pPr>
      <w:r w:rsidRPr="000F6BD3">
        <w:rPr>
          <w:sz w:val="20"/>
          <w:szCs w:val="20"/>
        </w:rPr>
        <w:t xml:space="preserve">Analiza echogramów ujawnia wyraźne zróżnicowanie charakteru odbić wzdłuż długości profili. </w:t>
      </w:r>
      <w:r>
        <w:rPr>
          <w:sz w:val="20"/>
          <w:szCs w:val="20"/>
        </w:rPr>
        <w:br/>
      </w:r>
      <w:r w:rsidRPr="000F6BD3">
        <w:rPr>
          <w:sz w:val="20"/>
          <w:szCs w:val="20"/>
        </w:rPr>
        <w:t xml:space="preserve">W szczególności zauważalne jest wyraźne zwiększenie tłumienia sygnału w północnych odcinkach wszystkich profili. Zjawisko to najprawdopodobniej związane jest z większą miąższością i zmiennością właściwości fizycznych pokrywy lessowej w tej części poligonu. Grubsza warstwa lessu może charakteryzować się wyższą wilgotnością, mniejszą porowatością lub obecnością drobniejszych frakcji mineralnych, które w połączeniu mogą skutkować silniejszym tłumieniem sygnału </w:t>
      </w:r>
      <w:proofErr w:type="spellStart"/>
      <w:r w:rsidRPr="000F6BD3">
        <w:rPr>
          <w:sz w:val="20"/>
          <w:szCs w:val="20"/>
        </w:rPr>
        <w:t>georadarowego</w:t>
      </w:r>
      <w:proofErr w:type="spellEnd"/>
      <w:r w:rsidRPr="000F6BD3">
        <w:rPr>
          <w:sz w:val="20"/>
          <w:szCs w:val="20"/>
        </w:rPr>
        <w:t>. Warto również zauważyć, że w porównaniu do poligonów 2 i 3, echogramy z obszaru 4 cechują się większą jednorodnością warstw i mniejszą liczbą wyraźnych anomalii punktowych, takich jak hiperbole dyfrakcyjne. Może to wskazywać na bardziej jednorodne warunki litologiczne oraz brak obecności silnie kontrastujących struktur antropogenicznych lub naturalnych.</w:t>
      </w:r>
    </w:p>
    <w:p w14:paraId="4298C48E" w14:textId="218F194B" w:rsidR="0023481C" w:rsidRDefault="003B26E0" w:rsidP="0023481C">
      <w:pPr>
        <w:ind w:left="360"/>
        <w:jc w:val="both"/>
        <w:rPr>
          <w:i/>
          <w:iCs/>
          <w:sz w:val="18"/>
          <w:szCs w:val="18"/>
        </w:rPr>
      </w:pPr>
      <w:r>
        <w:rPr>
          <w:i/>
          <w:iCs/>
          <w:noProof/>
          <w:sz w:val="18"/>
          <w:szCs w:val="18"/>
        </w:rPr>
        <w:lastRenderedPageBreak/>
        <w:drawing>
          <wp:inline distT="0" distB="0" distL="0" distR="0" wp14:anchorId="09CA1310" wp14:editId="0D2BA422">
            <wp:extent cx="5495965" cy="7210425"/>
            <wp:effectExtent l="0" t="0" r="9525" b="0"/>
            <wp:docPr id="206517665" name="Obraz 8" descr="Obraz zawierający tekst, zrzut ekranu, Czcionk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17665" name="Obraz 8" descr="Obraz zawierający tekst, zrzut ekranu, Czcionka&#10;&#10;Zawartość wygenerowana przez sztuczną inteligencję może być niepoprawna."/>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499125" cy="7214571"/>
                    </a:xfrm>
                    <a:prstGeom prst="rect">
                      <a:avLst/>
                    </a:prstGeom>
                  </pic:spPr>
                </pic:pic>
              </a:graphicData>
            </a:graphic>
          </wp:inline>
        </w:drawing>
      </w:r>
      <w:r w:rsidR="0023481C" w:rsidRPr="001601E7">
        <w:rPr>
          <w:i/>
          <w:iCs/>
          <w:sz w:val="18"/>
          <w:szCs w:val="18"/>
        </w:rPr>
        <w:t>Fig.</w:t>
      </w:r>
      <w:r w:rsidR="0023481C">
        <w:rPr>
          <w:i/>
          <w:iCs/>
          <w:sz w:val="18"/>
          <w:szCs w:val="18"/>
        </w:rPr>
        <w:t>3</w:t>
      </w:r>
      <w:r w:rsidR="0023481C" w:rsidRPr="001601E7">
        <w:rPr>
          <w:i/>
          <w:iCs/>
          <w:sz w:val="18"/>
          <w:szCs w:val="18"/>
        </w:rPr>
        <w:t>.1.</w:t>
      </w:r>
      <w:r w:rsidR="0023481C">
        <w:rPr>
          <w:i/>
          <w:iCs/>
          <w:sz w:val="18"/>
          <w:szCs w:val="18"/>
        </w:rPr>
        <w:t xml:space="preserve"> Zestawienie przetworzonych echogramów </w:t>
      </w:r>
      <w:proofErr w:type="spellStart"/>
      <w:r w:rsidR="0023481C">
        <w:rPr>
          <w:i/>
          <w:iCs/>
          <w:sz w:val="18"/>
          <w:szCs w:val="18"/>
        </w:rPr>
        <w:t>georadarowych</w:t>
      </w:r>
      <w:proofErr w:type="spellEnd"/>
      <w:r w:rsidR="0023481C">
        <w:rPr>
          <w:i/>
          <w:iCs/>
          <w:sz w:val="18"/>
          <w:szCs w:val="18"/>
        </w:rPr>
        <w:t xml:space="preserve"> dla profili od 1  do 5 wykonanych na obszarze</w:t>
      </w:r>
      <w:r w:rsidR="0023481C">
        <w:rPr>
          <w:i/>
          <w:iCs/>
          <w:sz w:val="18"/>
          <w:szCs w:val="18"/>
        </w:rPr>
        <w:t xml:space="preserve"> 4</w:t>
      </w:r>
      <w:r w:rsidR="0023481C">
        <w:rPr>
          <w:i/>
          <w:iCs/>
          <w:sz w:val="18"/>
          <w:szCs w:val="18"/>
        </w:rPr>
        <w:t>.</w:t>
      </w:r>
    </w:p>
    <w:p w14:paraId="02AD91F0" w14:textId="77777777" w:rsidR="00373621" w:rsidRPr="00373621" w:rsidRDefault="00373621" w:rsidP="00373621">
      <w:pPr>
        <w:ind w:left="360"/>
        <w:jc w:val="both"/>
        <w:rPr>
          <w:sz w:val="20"/>
          <w:szCs w:val="20"/>
        </w:rPr>
      </w:pPr>
      <w:r w:rsidRPr="00373621">
        <w:rPr>
          <w:sz w:val="20"/>
          <w:szCs w:val="20"/>
        </w:rPr>
        <w:t>W porównaniu z wcześniej analizowanymi obszarami (poligonami 2 i 3), poligon 4 charakteryzuje się wyraźnie większym zróżnicowaniem zarówno wzdłuż poszczególnych profili, jak i pomiędzy nimi. Tego rodzaju niejednorodność nie była obserwowana w takim stopniu na wcześniejszych stanowiskach. Hiperbole dyfrakcyjne, choć liczniejsze, występują na różnych głębokościach oraz w różnych miejscach na sąsiadujących profilach, co utrudnia ich jednoznaczną interpretację jako elementów przestrzennie ciągłych. Taka zmienność może wskazywać raczej na lokalne zaburzenia właściwości fizycznych ośrodka niż na spójną strukturę antropogeniczną.</w:t>
      </w:r>
    </w:p>
    <w:p w14:paraId="57C45617" w14:textId="77777777" w:rsidR="00373621" w:rsidRPr="00373621" w:rsidRDefault="00373621" w:rsidP="00373621">
      <w:pPr>
        <w:pStyle w:val="Akapitzlist"/>
        <w:rPr>
          <w:sz w:val="20"/>
          <w:szCs w:val="20"/>
        </w:rPr>
      </w:pPr>
    </w:p>
    <w:p w14:paraId="375217D9" w14:textId="77777777" w:rsidR="00373621" w:rsidRDefault="00373621" w:rsidP="00373621">
      <w:pPr>
        <w:ind w:left="360"/>
        <w:jc w:val="both"/>
        <w:rPr>
          <w:sz w:val="20"/>
          <w:szCs w:val="20"/>
        </w:rPr>
      </w:pPr>
      <w:r w:rsidRPr="00373621">
        <w:rPr>
          <w:sz w:val="20"/>
          <w:szCs w:val="20"/>
        </w:rPr>
        <w:t>Warto również zauważyć brak charakterystycznych, zapadających się struktur, które były widoczne na echogramach z poligonów 2 i 3, z jednym możliwym wyjątkiem – w profilu 1, pomiędzy 2. a 3. metrem bieżącym, gdzie zarejestrowano anomalię przypominającą tego typu formę. Niemniej jednak jej interpretacja pozostaje niepewna, ze względu na brak potwierdzenia w sąsiednich profilach oraz potencjalny wpływ lokalnych zmian litologicznych.</w:t>
      </w:r>
    </w:p>
    <w:p w14:paraId="5C903A74" w14:textId="2946BCE4" w:rsidR="007F7DE3" w:rsidRDefault="00373621" w:rsidP="00373621">
      <w:pPr>
        <w:ind w:left="360"/>
        <w:jc w:val="both"/>
        <w:rPr>
          <w:b/>
          <w:bCs/>
          <w:sz w:val="20"/>
          <w:szCs w:val="20"/>
        </w:rPr>
      </w:pPr>
      <w:r w:rsidRPr="00373621">
        <w:rPr>
          <w:sz w:val="20"/>
          <w:szCs w:val="20"/>
        </w:rPr>
        <w:t>Z uwagi na rozproszony charakter obserwowanych anomalii, ich zmienną głębokość i ograniczoną korelację między profilami, trudno jest jednoznacznie powiązać zarejestrowane sygnały z konkretnym obiektem archeologicznym. Może to wynikać z bardziej złożonej budowy geologicznej tego obszaru lub z braku obecności wyraźnych struktur antropogenicznych w obrębie badanego przekroju.</w:t>
      </w:r>
      <w:r w:rsidR="00D0265B">
        <w:rPr>
          <w:sz w:val="20"/>
          <w:szCs w:val="20"/>
        </w:rPr>
        <w:t xml:space="preserve"> </w:t>
      </w:r>
      <w:r w:rsidR="00D0265B" w:rsidRPr="00D0265B">
        <w:rPr>
          <w:sz w:val="20"/>
          <w:szCs w:val="20"/>
        </w:rPr>
        <w:t xml:space="preserve">Nie należy także wykluczać, że tak licznie występujące hiperbole mogą być wynikiem jakichś zakłóceń zewnętrznych. Mimo zastosowania anteny ekranowanej nie daje ona 100% osłony przed odbiciem fali powyżej anteny, a teren badań był pokryty gęstą roślinnością, co także mogło wpłynąć na jakość danych.   </w:t>
      </w:r>
    </w:p>
    <w:p w14:paraId="43D67A2B" w14:textId="0AA66EA4" w:rsidR="001601E7" w:rsidRPr="00324ABC" w:rsidRDefault="001601E7" w:rsidP="001601E7">
      <w:pPr>
        <w:pStyle w:val="Akapitzlist"/>
        <w:numPr>
          <w:ilvl w:val="0"/>
          <w:numId w:val="1"/>
        </w:numPr>
        <w:rPr>
          <w:b/>
          <w:bCs/>
          <w:sz w:val="20"/>
          <w:szCs w:val="20"/>
        </w:rPr>
      </w:pPr>
      <w:r>
        <w:rPr>
          <w:b/>
          <w:bCs/>
          <w:sz w:val="20"/>
          <w:szCs w:val="20"/>
        </w:rPr>
        <w:t>Podsumowanie wyników</w:t>
      </w:r>
    </w:p>
    <w:p w14:paraId="2C2C58D8" w14:textId="2E3E5D6D" w:rsidR="00373621" w:rsidRPr="00373621" w:rsidRDefault="00373621" w:rsidP="00373621">
      <w:pPr>
        <w:ind w:left="360"/>
        <w:jc w:val="both"/>
        <w:rPr>
          <w:sz w:val="20"/>
          <w:szCs w:val="20"/>
        </w:rPr>
      </w:pPr>
      <w:r w:rsidRPr="00373621">
        <w:rPr>
          <w:sz w:val="20"/>
          <w:szCs w:val="20"/>
        </w:rPr>
        <w:t xml:space="preserve">Badania </w:t>
      </w:r>
      <w:proofErr w:type="spellStart"/>
      <w:r w:rsidRPr="00373621">
        <w:rPr>
          <w:sz w:val="20"/>
          <w:szCs w:val="20"/>
        </w:rPr>
        <w:t>georadarowe</w:t>
      </w:r>
      <w:proofErr w:type="spellEnd"/>
      <w:r w:rsidRPr="00373621">
        <w:rPr>
          <w:sz w:val="20"/>
          <w:szCs w:val="20"/>
        </w:rPr>
        <w:t xml:space="preserve"> przeprowadzone na poligonach 2, 3 i 4 stanowią uzupełnienie wcześniejszych pomiarów magnetometrycznych i konduktometrycznych, dostarczając dodatkowych informacji </w:t>
      </w:r>
      <w:r>
        <w:rPr>
          <w:sz w:val="20"/>
          <w:szCs w:val="20"/>
        </w:rPr>
        <w:br/>
      </w:r>
      <w:r w:rsidRPr="00373621">
        <w:rPr>
          <w:sz w:val="20"/>
          <w:szCs w:val="20"/>
        </w:rPr>
        <w:t>o charakterze i głębokości zarejestrowanych anomalii.</w:t>
      </w:r>
    </w:p>
    <w:p w14:paraId="4001AD86" w14:textId="77777777" w:rsidR="00373621" w:rsidRPr="00373621" w:rsidRDefault="00373621" w:rsidP="00373621">
      <w:pPr>
        <w:ind w:left="360"/>
        <w:jc w:val="both"/>
        <w:rPr>
          <w:sz w:val="20"/>
          <w:szCs w:val="20"/>
        </w:rPr>
      </w:pPr>
      <w:r w:rsidRPr="00373621">
        <w:rPr>
          <w:sz w:val="20"/>
          <w:szCs w:val="20"/>
        </w:rPr>
        <w:t>Na poligonie 2 zaobserwowano liczne hiperbole dyfrakcyjne oraz strefy silnego tłumienia sygnału, szczególnie w centralnej części profili. Część tych struktur pokrywa się z wcześniej zarejestrowanymi anomaliami konduktometrycznymi, co może wskazywać na obecność obiektów o potencjalnym znaczeniu archeologicznym.</w:t>
      </w:r>
    </w:p>
    <w:p w14:paraId="6B4121CE" w14:textId="77777777" w:rsidR="00373621" w:rsidRPr="00373621" w:rsidRDefault="00373621" w:rsidP="00373621">
      <w:pPr>
        <w:ind w:left="360"/>
        <w:jc w:val="both"/>
        <w:rPr>
          <w:sz w:val="20"/>
          <w:szCs w:val="20"/>
        </w:rPr>
      </w:pPr>
      <w:r w:rsidRPr="00373621">
        <w:rPr>
          <w:sz w:val="20"/>
          <w:szCs w:val="20"/>
        </w:rPr>
        <w:t>Poligon 3 charakteryzował się mniejszą liczbą i wyraźnością anomalii. Zarejestrowane ugięcia warstw oraz lokalne zakłócenia (np. efekt ogrodzenia) były zgodne z wcześniejszymi obserwacjami ograniczonej przydatności tego obszaru do interpretacji archeologicznej.</w:t>
      </w:r>
    </w:p>
    <w:p w14:paraId="63EC4798" w14:textId="77777777" w:rsidR="00373621" w:rsidRPr="00373621" w:rsidRDefault="00373621" w:rsidP="00373621">
      <w:pPr>
        <w:ind w:left="360"/>
        <w:jc w:val="both"/>
        <w:rPr>
          <w:sz w:val="20"/>
          <w:szCs w:val="20"/>
        </w:rPr>
      </w:pPr>
      <w:r w:rsidRPr="00373621">
        <w:rPr>
          <w:sz w:val="20"/>
          <w:szCs w:val="20"/>
        </w:rPr>
        <w:t>Na poligonie 4, pomimo silniejszego tłumienia fali w północnej części i braku wyraźnych struktur zapadających się, odnotowano zwiększoną liczbę hiperbol oraz lokalne zaburzenia ciągłości warstw. Występujące tam zróżnicowanie głębokości i form pokrywa się częściowo z wcześniej zidentyfikowanymi anomaliami konduktometrycznymi.</w:t>
      </w:r>
    </w:p>
    <w:p w14:paraId="3ACBEBD1" w14:textId="1F7EE57E" w:rsidR="00F97445" w:rsidRDefault="00373621" w:rsidP="00373621">
      <w:pPr>
        <w:ind w:left="360"/>
        <w:jc w:val="both"/>
        <w:rPr>
          <w:sz w:val="20"/>
          <w:szCs w:val="20"/>
        </w:rPr>
      </w:pPr>
      <w:r w:rsidRPr="00373621">
        <w:rPr>
          <w:sz w:val="20"/>
          <w:szCs w:val="20"/>
        </w:rPr>
        <w:t>Łącznie dane GPR potwierdzają znaczenie poligonów 2 i 4 jako obszarów o największym potencjale badawczym i stanowią podstawę do dalszych analiz oraz ewentualnych prac wykopaliskowych.</w:t>
      </w:r>
    </w:p>
    <w:p w14:paraId="046BE838" w14:textId="77777777" w:rsidR="00373621" w:rsidRPr="00324ABC" w:rsidRDefault="00373621" w:rsidP="00373621">
      <w:pPr>
        <w:ind w:left="360"/>
        <w:jc w:val="both"/>
        <w:rPr>
          <w:b/>
          <w:bCs/>
          <w:sz w:val="20"/>
          <w:szCs w:val="20"/>
        </w:rPr>
      </w:pPr>
    </w:p>
    <w:p w14:paraId="12821F65" w14:textId="414A1E76" w:rsidR="00363594" w:rsidRDefault="007F7DE3" w:rsidP="007F7DE3">
      <w:pPr>
        <w:ind w:left="360"/>
        <w:jc w:val="right"/>
        <w:rPr>
          <w:sz w:val="20"/>
          <w:szCs w:val="20"/>
        </w:rPr>
      </w:pPr>
      <w:r>
        <w:rPr>
          <w:sz w:val="20"/>
          <w:szCs w:val="20"/>
        </w:rPr>
        <w:t xml:space="preserve">Raport sporządzono </w:t>
      </w:r>
      <w:r w:rsidR="00E0345A">
        <w:rPr>
          <w:sz w:val="20"/>
          <w:szCs w:val="20"/>
        </w:rPr>
        <w:t>05</w:t>
      </w:r>
      <w:r>
        <w:rPr>
          <w:sz w:val="20"/>
          <w:szCs w:val="20"/>
        </w:rPr>
        <w:t>.0</w:t>
      </w:r>
      <w:r w:rsidR="00E0345A">
        <w:rPr>
          <w:sz w:val="20"/>
          <w:szCs w:val="20"/>
        </w:rPr>
        <w:t>6</w:t>
      </w:r>
      <w:r>
        <w:rPr>
          <w:sz w:val="20"/>
          <w:szCs w:val="20"/>
        </w:rPr>
        <w:t>.202</w:t>
      </w:r>
      <w:r w:rsidR="00E0345A">
        <w:rPr>
          <w:sz w:val="20"/>
          <w:szCs w:val="20"/>
        </w:rPr>
        <w:t>5</w:t>
      </w:r>
    </w:p>
    <w:p w14:paraId="6B0A29AD" w14:textId="650CB2BC" w:rsidR="007F7DE3" w:rsidRPr="00505A57" w:rsidRDefault="007F7DE3" w:rsidP="007F7DE3">
      <w:pPr>
        <w:ind w:left="360"/>
        <w:jc w:val="right"/>
        <w:rPr>
          <w:sz w:val="20"/>
          <w:szCs w:val="20"/>
        </w:rPr>
      </w:pPr>
      <w:r>
        <w:rPr>
          <w:sz w:val="20"/>
          <w:szCs w:val="20"/>
        </w:rPr>
        <w:t>dr inż. Szymon Oryński</w:t>
      </w:r>
    </w:p>
    <w:sectPr w:rsidR="007F7DE3" w:rsidRPr="00505A5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3738AC" w14:textId="77777777" w:rsidR="003933AE" w:rsidRDefault="003933AE" w:rsidP="00337DF0">
      <w:pPr>
        <w:spacing w:after="0" w:line="240" w:lineRule="auto"/>
      </w:pPr>
      <w:r>
        <w:separator/>
      </w:r>
    </w:p>
  </w:endnote>
  <w:endnote w:type="continuationSeparator" w:id="0">
    <w:p w14:paraId="52781DA6" w14:textId="77777777" w:rsidR="003933AE" w:rsidRDefault="003933AE" w:rsidP="00337D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32F912" w14:textId="77777777" w:rsidR="003933AE" w:rsidRDefault="003933AE" w:rsidP="00337DF0">
      <w:pPr>
        <w:spacing w:after="0" w:line="240" w:lineRule="auto"/>
      </w:pPr>
      <w:r>
        <w:separator/>
      </w:r>
    </w:p>
  </w:footnote>
  <w:footnote w:type="continuationSeparator" w:id="0">
    <w:p w14:paraId="3049D913" w14:textId="77777777" w:rsidR="003933AE" w:rsidRDefault="003933AE" w:rsidP="00337DF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140E8B"/>
    <w:multiLevelType w:val="multilevel"/>
    <w:tmpl w:val="1AD47BAE"/>
    <w:lvl w:ilvl="0">
      <w:start w:val="1"/>
      <w:numFmt w:val="decimal"/>
      <w:lvlText w:val="%1."/>
      <w:lvlJc w:val="left"/>
      <w:pPr>
        <w:ind w:left="360" w:hanging="360"/>
      </w:pPr>
      <w:rPr>
        <w:rFonts w:hint="default"/>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7482621C"/>
    <w:multiLevelType w:val="hybridMultilevel"/>
    <w:tmpl w:val="2EC222D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num w:numId="1" w16cid:durableId="311908682">
    <w:abstractNumId w:val="0"/>
  </w:num>
  <w:num w:numId="2" w16cid:durableId="82643990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MDe2MDO2MDAxMjcxNbFU0lEKTi0uzszPAykwrgUAmcqCXSwAAAA="/>
  </w:docVars>
  <w:rsids>
    <w:rsidRoot w:val="00840794"/>
    <w:rsid w:val="00033689"/>
    <w:rsid w:val="0004502F"/>
    <w:rsid w:val="00046E61"/>
    <w:rsid w:val="00075B04"/>
    <w:rsid w:val="00083127"/>
    <w:rsid w:val="00090172"/>
    <w:rsid w:val="000918F4"/>
    <w:rsid w:val="000A44C7"/>
    <w:rsid w:val="000A4A50"/>
    <w:rsid w:val="000A4E63"/>
    <w:rsid w:val="000B00D7"/>
    <w:rsid w:val="000B32A0"/>
    <w:rsid w:val="000F6BD3"/>
    <w:rsid w:val="001076FC"/>
    <w:rsid w:val="0013251F"/>
    <w:rsid w:val="001601E7"/>
    <w:rsid w:val="00160B07"/>
    <w:rsid w:val="001A53F4"/>
    <w:rsid w:val="001B1E04"/>
    <w:rsid w:val="001C0A61"/>
    <w:rsid w:val="001E062B"/>
    <w:rsid w:val="001F4B48"/>
    <w:rsid w:val="00226C00"/>
    <w:rsid w:val="0023481C"/>
    <w:rsid w:val="00255709"/>
    <w:rsid w:val="002766EF"/>
    <w:rsid w:val="002C21A1"/>
    <w:rsid w:val="002C7861"/>
    <w:rsid w:val="0030788A"/>
    <w:rsid w:val="0031538A"/>
    <w:rsid w:val="00324ABC"/>
    <w:rsid w:val="00337DF0"/>
    <w:rsid w:val="00350F1E"/>
    <w:rsid w:val="00363594"/>
    <w:rsid w:val="00370D42"/>
    <w:rsid w:val="00371865"/>
    <w:rsid w:val="00373621"/>
    <w:rsid w:val="00376655"/>
    <w:rsid w:val="00382460"/>
    <w:rsid w:val="00383F1A"/>
    <w:rsid w:val="003933AE"/>
    <w:rsid w:val="0039415A"/>
    <w:rsid w:val="003B26E0"/>
    <w:rsid w:val="003E7621"/>
    <w:rsid w:val="00405A60"/>
    <w:rsid w:val="00413E3D"/>
    <w:rsid w:val="00460C33"/>
    <w:rsid w:val="00462931"/>
    <w:rsid w:val="00472B0B"/>
    <w:rsid w:val="00480DCE"/>
    <w:rsid w:val="004B3DF2"/>
    <w:rsid w:val="004C58F4"/>
    <w:rsid w:val="004D4B9F"/>
    <w:rsid w:val="004F6F09"/>
    <w:rsid w:val="00505A57"/>
    <w:rsid w:val="005152CF"/>
    <w:rsid w:val="005355C9"/>
    <w:rsid w:val="00550FE9"/>
    <w:rsid w:val="0055237F"/>
    <w:rsid w:val="0057099F"/>
    <w:rsid w:val="00611A01"/>
    <w:rsid w:val="006348F3"/>
    <w:rsid w:val="00686CAD"/>
    <w:rsid w:val="006A7CE3"/>
    <w:rsid w:val="006C1C3E"/>
    <w:rsid w:val="006C58D0"/>
    <w:rsid w:val="006D6E82"/>
    <w:rsid w:val="006E32FF"/>
    <w:rsid w:val="0071187E"/>
    <w:rsid w:val="00712FF7"/>
    <w:rsid w:val="00721E6F"/>
    <w:rsid w:val="00723FC8"/>
    <w:rsid w:val="00727208"/>
    <w:rsid w:val="0074689A"/>
    <w:rsid w:val="00760B63"/>
    <w:rsid w:val="00773EF9"/>
    <w:rsid w:val="00793774"/>
    <w:rsid w:val="0079598A"/>
    <w:rsid w:val="007B4278"/>
    <w:rsid w:val="007D3C21"/>
    <w:rsid w:val="007D4928"/>
    <w:rsid w:val="007D6358"/>
    <w:rsid w:val="007F0838"/>
    <w:rsid w:val="007F7DE3"/>
    <w:rsid w:val="008011DF"/>
    <w:rsid w:val="00840794"/>
    <w:rsid w:val="00850D28"/>
    <w:rsid w:val="0085184C"/>
    <w:rsid w:val="00863848"/>
    <w:rsid w:val="00872488"/>
    <w:rsid w:val="008C5ED7"/>
    <w:rsid w:val="00902A9E"/>
    <w:rsid w:val="00923F28"/>
    <w:rsid w:val="00947822"/>
    <w:rsid w:val="009507AD"/>
    <w:rsid w:val="0096319E"/>
    <w:rsid w:val="00974B65"/>
    <w:rsid w:val="00975841"/>
    <w:rsid w:val="00992954"/>
    <w:rsid w:val="009B2238"/>
    <w:rsid w:val="009B47C6"/>
    <w:rsid w:val="009F2C00"/>
    <w:rsid w:val="00A52C54"/>
    <w:rsid w:val="00A5642A"/>
    <w:rsid w:val="00A669D5"/>
    <w:rsid w:val="00A76235"/>
    <w:rsid w:val="00AB78DD"/>
    <w:rsid w:val="00AE0B0F"/>
    <w:rsid w:val="00AE384A"/>
    <w:rsid w:val="00B13A24"/>
    <w:rsid w:val="00B54D75"/>
    <w:rsid w:val="00B629CE"/>
    <w:rsid w:val="00B815FF"/>
    <w:rsid w:val="00B9396A"/>
    <w:rsid w:val="00BB04FE"/>
    <w:rsid w:val="00C07A6F"/>
    <w:rsid w:val="00C255B2"/>
    <w:rsid w:val="00C41535"/>
    <w:rsid w:val="00C65127"/>
    <w:rsid w:val="00C71EF6"/>
    <w:rsid w:val="00CA7A3B"/>
    <w:rsid w:val="00CB3B22"/>
    <w:rsid w:val="00CE51C8"/>
    <w:rsid w:val="00CF70E9"/>
    <w:rsid w:val="00D0265B"/>
    <w:rsid w:val="00D25492"/>
    <w:rsid w:val="00D264C3"/>
    <w:rsid w:val="00D429B5"/>
    <w:rsid w:val="00D55F98"/>
    <w:rsid w:val="00D94982"/>
    <w:rsid w:val="00DB027E"/>
    <w:rsid w:val="00DD0401"/>
    <w:rsid w:val="00E00D37"/>
    <w:rsid w:val="00E0345A"/>
    <w:rsid w:val="00E42F2B"/>
    <w:rsid w:val="00E47726"/>
    <w:rsid w:val="00E63373"/>
    <w:rsid w:val="00EA45EB"/>
    <w:rsid w:val="00EB69F4"/>
    <w:rsid w:val="00EC113B"/>
    <w:rsid w:val="00EC40E7"/>
    <w:rsid w:val="00EC4E9A"/>
    <w:rsid w:val="00EC76E1"/>
    <w:rsid w:val="00EE62FE"/>
    <w:rsid w:val="00F875E6"/>
    <w:rsid w:val="00F97445"/>
    <w:rsid w:val="00FB17D2"/>
    <w:rsid w:val="00FB67E2"/>
    <w:rsid w:val="00FC2BF7"/>
    <w:rsid w:val="00FD4DE0"/>
    <w:rsid w:val="00FE1E0F"/>
    <w:rsid w:val="00FF375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BB6F29"/>
  <w15:chartTrackingRefBased/>
  <w15:docId w15:val="{4A440667-B9AA-4362-9440-CB78040AE9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40794"/>
    <w:rPr>
      <w:kern w:val="0"/>
    </w:rPr>
  </w:style>
  <w:style w:type="paragraph" w:styleId="Nagwek1">
    <w:name w:val="heading 1"/>
    <w:basedOn w:val="Normalny"/>
    <w:next w:val="Normalny"/>
    <w:link w:val="Nagwek1Znak"/>
    <w:uiPriority w:val="9"/>
    <w:qFormat/>
    <w:rsid w:val="0084079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gwek2">
    <w:name w:val="heading 2"/>
    <w:basedOn w:val="Normalny"/>
    <w:next w:val="Normalny"/>
    <w:link w:val="Nagwek2Znak"/>
    <w:uiPriority w:val="9"/>
    <w:semiHidden/>
    <w:unhideWhenUsed/>
    <w:qFormat/>
    <w:rsid w:val="0084079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gwek3">
    <w:name w:val="heading 3"/>
    <w:basedOn w:val="Normalny"/>
    <w:next w:val="Normalny"/>
    <w:link w:val="Nagwek3Znak"/>
    <w:uiPriority w:val="9"/>
    <w:semiHidden/>
    <w:unhideWhenUsed/>
    <w:qFormat/>
    <w:rsid w:val="00840794"/>
    <w:pPr>
      <w:keepNext/>
      <w:keepLines/>
      <w:spacing w:before="160" w:after="80"/>
      <w:outlineLvl w:val="2"/>
    </w:pPr>
    <w:rPr>
      <w:rFonts w:eastAsiaTheme="majorEastAsia" w:cstheme="majorBidi"/>
      <w:color w:val="0F4761" w:themeColor="accent1" w:themeShade="BF"/>
      <w:sz w:val="28"/>
      <w:szCs w:val="28"/>
    </w:rPr>
  </w:style>
  <w:style w:type="paragraph" w:styleId="Nagwek4">
    <w:name w:val="heading 4"/>
    <w:basedOn w:val="Normalny"/>
    <w:next w:val="Normalny"/>
    <w:link w:val="Nagwek4Znak"/>
    <w:uiPriority w:val="9"/>
    <w:semiHidden/>
    <w:unhideWhenUsed/>
    <w:qFormat/>
    <w:rsid w:val="00840794"/>
    <w:pPr>
      <w:keepNext/>
      <w:keepLines/>
      <w:spacing w:before="80" w:after="40"/>
      <w:outlineLvl w:val="3"/>
    </w:pPr>
    <w:rPr>
      <w:rFonts w:eastAsiaTheme="majorEastAsia" w:cstheme="majorBidi"/>
      <w:i/>
      <w:iCs/>
      <w:color w:val="0F4761" w:themeColor="accent1" w:themeShade="BF"/>
    </w:rPr>
  </w:style>
  <w:style w:type="paragraph" w:styleId="Nagwek5">
    <w:name w:val="heading 5"/>
    <w:basedOn w:val="Normalny"/>
    <w:next w:val="Normalny"/>
    <w:link w:val="Nagwek5Znak"/>
    <w:uiPriority w:val="9"/>
    <w:semiHidden/>
    <w:unhideWhenUsed/>
    <w:qFormat/>
    <w:rsid w:val="00840794"/>
    <w:pPr>
      <w:keepNext/>
      <w:keepLines/>
      <w:spacing w:before="80" w:after="40"/>
      <w:outlineLvl w:val="4"/>
    </w:pPr>
    <w:rPr>
      <w:rFonts w:eastAsiaTheme="majorEastAsia" w:cstheme="majorBidi"/>
      <w:color w:val="0F4761" w:themeColor="accent1" w:themeShade="BF"/>
    </w:rPr>
  </w:style>
  <w:style w:type="paragraph" w:styleId="Nagwek6">
    <w:name w:val="heading 6"/>
    <w:basedOn w:val="Normalny"/>
    <w:next w:val="Normalny"/>
    <w:link w:val="Nagwek6Znak"/>
    <w:uiPriority w:val="9"/>
    <w:semiHidden/>
    <w:unhideWhenUsed/>
    <w:qFormat/>
    <w:rsid w:val="00840794"/>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840794"/>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840794"/>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840794"/>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840794"/>
    <w:rPr>
      <w:rFonts w:asciiTheme="majorHAnsi" w:eastAsiaTheme="majorEastAsia" w:hAnsiTheme="majorHAnsi" w:cstheme="majorBidi"/>
      <w:color w:val="0F4761" w:themeColor="accent1" w:themeShade="BF"/>
      <w:sz w:val="40"/>
      <w:szCs w:val="40"/>
    </w:rPr>
  </w:style>
  <w:style w:type="character" w:customStyle="1" w:styleId="Nagwek2Znak">
    <w:name w:val="Nagłówek 2 Znak"/>
    <w:basedOn w:val="Domylnaczcionkaakapitu"/>
    <w:link w:val="Nagwek2"/>
    <w:uiPriority w:val="9"/>
    <w:semiHidden/>
    <w:rsid w:val="00840794"/>
    <w:rPr>
      <w:rFonts w:asciiTheme="majorHAnsi" w:eastAsiaTheme="majorEastAsia" w:hAnsiTheme="majorHAnsi" w:cstheme="majorBidi"/>
      <w:color w:val="0F4761" w:themeColor="accent1" w:themeShade="BF"/>
      <w:sz w:val="32"/>
      <w:szCs w:val="32"/>
    </w:rPr>
  </w:style>
  <w:style w:type="character" w:customStyle="1" w:styleId="Nagwek3Znak">
    <w:name w:val="Nagłówek 3 Znak"/>
    <w:basedOn w:val="Domylnaczcionkaakapitu"/>
    <w:link w:val="Nagwek3"/>
    <w:uiPriority w:val="9"/>
    <w:semiHidden/>
    <w:rsid w:val="00840794"/>
    <w:rPr>
      <w:rFonts w:eastAsiaTheme="majorEastAsia" w:cstheme="majorBidi"/>
      <w:color w:val="0F4761" w:themeColor="accent1" w:themeShade="BF"/>
      <w:sz w:val="28"/>
      <w:szCs w:val="28"/>
    </w:rPr>
  </w:style>
  <w:style w:type="character" w:customStyle="1" w:styleId="Nagwek4Znak">
    <w:name w:val="Nagłówek 4 Znak"/>
    <w:basedOn w:val="Domylnaczcionkaakapitu"/>
    <w:link w:val="Nagwek4"/>
    <w:uiPriority w:val="9"/>
    <w:semiHidden/>
    <w:rsid w:val="00840794"/>
    <w:rPr>
      <w:rFonts w:eastAsiaTheme="majorEastAsia" w:cstheme="majorBidi"/>
      <w:i/>
      <w:iCs/>
      <w:color w:val="0F4761" w:themeColor="accent1" w:themeShade="BF"/>
    </w:rPr>
  </w:style>
  <w:style w:type="character" w:customStyle="1" w:styleId="Nagwek5Znak">
    <w:name w:val="Nagłówek 5 Znak"/>
    <w:basedOn w:val="Domylnaczcionkaakapitu"/>
    <w:link w:val="Nagwek5"/>
    <w:uiPriority w:val="9"/>
    <w:semiHidden/>
    <w:rsid w:val="00840794"/>
    <w:rPr>
      <w:rFonts w:eastAsiaTheme="majorEastAsia" w:cstheme="majorBidi"/>
      <w:color w:val="0F4761" w:themeColor="accent1" w:themeShade="BF"/>
    </w:rPr>
  </w:style>
  <w:style w:type="character" w:customStyle="1" w:styleId="Nagwek6Znak">
    <w:name w:val="Nagłówek 6 Znak"/>
    <w:basedOn w:val="Domylnaczcionkaakapitu"/>
    <w:link w:val="Nagwek6"/>
    <w:uiPriority w:val="9"/>
    <w:semiHidden/>
    <w:rsid w:val="00840794"/>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840794"/>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840794"/>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840794"/>
    <w:rPr>
      <w:rFonts w:eastAsiaTheme="majorEastAsia" w:cstheme="majorBidi"/>
      <w:color w:val="272727" w:themeColor="text1" w:themeTint="D8"/>
    </w:rPr>
  </w:style>
  <w:style w:type="paragraph" w:styleId="Tytu">
    <w:name w:val="Title"/>
    <w:basedOn w:val="Normalny"/>
    <w:next w:val="Normalny"/>
    <w:link w:val="TytuZnak"/>
    <w:uiPriority w:val="10"/>
    <w:qFormat/>
    <w:rsid w:val="0084079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840794"/>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840794"/>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840794"/>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840794"/>
    <w:pPr>
      <w:spacing w:before="160"/>
      <w:jc w:val="center"/>
    </w:pPr>
    <w:rPr>
      <w:i/>
      <w:iCs/>
      <w:color w:val="404040" w:themeColor="text1" w:themeTint="BF"/>
    </w:rPr>
  </w:style>
  <w:style w:type="character" w:customStyle="1" w:styleId="CytatZnak">
    <w:name w:val="Cytat Znak"/>
    <w:basedOn w:val="Domylnaczcionkaakapitu"/>
    <w:link w:val="Cytat"/>
    <w:uiPriority w:val="29"/>
    <w:rsid w:val="00840794"/>
    <w:rPr>
      <w:i/>
      <w:iCs/>
      <w:color w:val="404040" w:themeColor="text1" w:themeTint="BF"/>
    </w:rPr>
  </w:style>
  <w:style w:type="paragraph" w:styleId="Akapitzlist">
    <w:name w:val="List Paragraph"/>
    <w:basedOn w:val="Normalny"/>
    <w:uiPriority w:val="34"/>
    <w:qFormat/>
    <w:rsid w:val="00840794"/>
    <w:pPr>
      <w:ind w:left="720"/>
      <w:contextualSpacing/>
    </w:pPr>
  </w:style>
  <w:style w:type="character" w:styleId="Wyrnienieintensywne">
    <w:name w:val="Intense Emphasis"/>
    <w:basedOn w:val="Domylnaczcionkaakapitu"/>
    <w:uiPriority w:val="21"/>
    <w:qFormat/>
    <w:rsid w:val="00840794"/>
    <w:rPr>
      <w:i/>
      <w:iCs/>
      <w:color w:val="0F4761" w:themeColor="accent1" w:themeShade="BF"/>
    </w:rPr>
  </w:style>
  <w:style w:type="paragraph" w:styleId="Cytatintensywny">
    <w:name w:val="Intense Quote"/>
    <w:basedOn w:val="Normalny"/>
    <w:next w:val="Normalny"/>
    <w:link w:val="CytatintensywnyZnak"/>
    <w:uiPriority w:val="30"/>
    <w:qFormat/>
    <w:rsid w:val="0084079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ytatintensywnyZnak">
    <w:name w:val="Cytat intensywny Znak"/>
    <w:basedOn w:val="Domylnaczcionkaakapitu"/>
    <w:link w:val="Cytatintensywny"/>
    <w:uiPriority w:val="30"/>
    <w:rsid w:val="00840794"/>
    <w:rPr>
      <w:i/>
      <w:iCs/>
      <w:color w:val="0F4761" w:themeColor="accent1" w:themeShade="BF"/>
    </w:rPr>
  </w:style>
  <w:style w:type="character" w:styleId="Odwoanieintensywne">
    <w:name w:val="Intense Reference"/>
    <w:basedOn w:val="Domylnaczcionkaakapitu"/>
    <w:uiPriority w:val="32"/>
    <w:qFormat/>
    <w:rsid w:val="00840794"/>
    <w:rPr>
      <w:b/>
      <w:bCs/>
      <w:smallCaps/>
      <w:color w:val="0F4761" w:themeColor="accent1" w:themeShade="BF"/>
      <w:spacing w:val="5"/>
    </w:rPr>
  </w:style>
  <w:style w:type="paragraph" w:styleId="Tekstprzypisukocowego">
    <w:name w:val="endnote text"/>
    <w:basedOn w:val="Normalny"/>
    <w:link w:val="TekstprzypisukocowegoZnak"/>
    <w:uiPriority w:val="99"/>
    <w:semiHidden/>
    <w:unhideWhenUsed/>
    <w:rsid w:val="00337DF0"/>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337DF0"/>
    <w:rPr>
      <w:kern w:val="0"/>
      <w:sz w:val="20"/>
      <w:szCs w:val="20"/>
    </w:rPr>
  </w:style>
  <w:style w:type="character" w:styleId="Odwoanieprzypisukocowego">
    <w:name w:val="endnote reference"/>
    <w:basedOn w:val="Domylnaczcionkaakapitu"/>
    <w:uiPriority w:val="99"/>
    <w:semiHidden/>
    <w:unhideWhenUsed/>
    <w:rsid w:val="00337DF0"/>
    <w:rPr>
      <w:vertAlign w:val="superscript"/>
    </w:rPr>
  </w:style>
  <w:style w:type="paragraph" w:styleId="Tekstpodstawowy">
    <w:name w:val="Body Text"/>
    <w:basedOn w:val="Normalny"/>
    <w:link w:val="TekstpodstawowyZnak"/>
    <w:uiPriority w:val="99"/>
    <w:unhideWhenUsed/>
    <w:rsid w:val="008011DF"/>
    <w:pPr>
      <w:spacing w:after="120"/>
    </w:pPr>
  </w:style>
  <w:style w:type="character" w:customStyle="1" w:styleId="TekstpodstawowyZnak">
    <w:name w:val="Tekst podstawowy Znak"/>
    <w:basedOn w:val="Domylnaczcionkaakapitu"/>
    <w:link w:val="Tekstpodstawowy"/>
    <w:uiPriority w:val="99"/>
    <w:rsid w:val="008011DF"/>
    <w:rPr>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5260196">
      <w:bodyDiv w:val="1"/>
      <w:marLeft w:val="0"/>
      <w:marRight w:val="0"/>
      <w:marTop w:val="0"/>
      <w:marBottom w:val="0"/>
      <w:divBdr>
        <w:top w:val="none" w:sz="0" w:space="0" w:color="auto"/>
        <w:left w:val="none" w:sz="0" w:space="0" w:color="auto"/>
        <w:bottom w:val="none" w:sz="0" w:space="0" w:color="auto"/>
        <w:right w:val="none" w:sz="0" w:space="0" w:color="auto"/>
      </w:divBdr>
    </w:div>
    <w:div w:id="1351225524">
      <w:bodyDiv w:val="1"/>
      <w:marLeft w:val="0"/>
      <w:marRight w:val="0"/>
      <w:marTop w:val="0"/>
      <w:marBottom w:val="0"/>
      <w:divBdr>
        <w:top w:val="none" w:sz="0" w:space="0" w:color="auto"/>
        <w:left w:val="none" w:sz="0" w:space="0" w:color="auto"/>
        <w:bottom w:val="none" w:sz="0" w:space="0" w:color="auto"/>
        <w:right w:val="none" w:sz="0" w:space="0" w:color="auto"/>
      </w:divBdr>
    </w:div>
    <w:div w:id="1476602123">
      <w:bodyDiv w:val="1"/>
      <w:marLeft w:val="0"/>
      <w:marRight w:val="0"/>
      <w:marTop w:val="0"/>
      <w:marBottom w:val="0"/>
      <w:divBdr>
        <w:top w:val="none" w:sz="0" w:space="0" w:color="auto"/>
        <w:left w:val="none" w:sz="0" w:space="0" w:color="auto"/>
        <w:bottom w:val="none" w:sz="0" w:space="0" w:color="auto"/>
        <w:right w:val="none" w:sz="0" w:space="0" w:color="auto"/>
      </w:divBdr>
    </w:div>
    <w:div w:id="19537767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239</TotalTime>
  <Pages>10</Pages>
  <Words>3024</Words>
  <Characters>18148</Characters>
  <Application>Microsoft Office Word</Application>
  <DocSecurity>0</DocSecurity>
  <Lines>151</Lines>
  <Paragraphs>42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21130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Szymon Orynski</dc:creator>
  <cp:keywords/>
  <dc:description/>
  <cp:lastModifiedBy>Szymon Orynski</cp:lastModifiedBy>
  <cp:revision>15</cp:revision>
  <dcterms:created xsi:type="dcterms:W3CDTF">2025-06-04T19:17:00Z</dcterms:created>
  <dcterms:modified xsi:type="dcterms:W3CDTF">2025-06-04T23:28:00Z</dcterms:modified>
</cp:coreProperties>
</file>